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Times New Roman"/>
          <w:color w:val="auto"/>
          <w:sz w:val="32"/>
          <w:szCs w:val="32"/>
          <w:highlight w:val="none"/>
        </w:rPr>
      </w:pPr>
      <w:bookmarkStart w:id="0" w:name="RANGE!A1:AH10"/>
      <w:bookmarkEnd w:id="0"/>
      <w:r>
        <w:rPr>
          <w:rFonts w:hint="eastAsia" w:ascii="黑体" w:hAnsi="黑体" w:eastAsia="黑体" w:cs="Times New Roman"/>
          <w:color w:val="auto"/>
          <w:sz w:val="32"/>
          <w:szCs w:val="32"/>
          <w:highlight w:val="none"/>
        </w:rPr>
        <w:t>霸州市</w:t>
      </w:r>
      <w:r>
        <w:rPr>
          <w:rFonts w:hint="eastAsia" w:ascii="黑体" w:hAnsi="黑体" w:eastAsia="黑体" w:cs="Times New Roman"/>
          <w:color w:val="auto"/>
          <w:sz w:val="32"/>
          <w:szCs w:val="32"/>
          <w:highlight w:val="none"/>
          <w:lang w:eastAsia="zh-CN"/>
        </w:rPr>
        <w:t>中国共产党霸州市委员会宣传部</w:t>
      </w:r>
      <w:r>
        <w:rPr>
          <w:rFonts w:hint="eastAsia" w:ascii="黑体" w:hAnsi="黑体" w:eastAsia="黑体" w:cs="Times New Roman"/>
          <w:color w:val="auto"/>
          <w:sz w:val="32"/>
          <w:szCs w:val="32"/>
          <w:highlight w:val="none"/>
        </w:rPr>
        <w:t>2020年部门预算信息公开</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按照《预算法》、《地方预决算公开操作规程》和《河北省省级预算公开办法》规定，现将</w:t>
      </w:r>
      <w:r>
        <w:rPr>
          <w:rFonts w:hint="eastAsia" w:ascii="仿宋_GB2312" w:hAnsi="Times New Roman" w:eastAsia="仿宋_GB2312" w:cs="Times New Roman"/>
          <w:color w:val="auto"/>
          <w:sz w:val="32"/>
          <w:szCs w:val="32"/>
          <w:highlight w:val="none"/>
          <w:lang w:eastAsia="zh-CN"/>
        </w:rPr>
        <w:t>中国共产党霸州市委员会宣传部</w:t>
      </w:r>
      <w:r>
        <w:rPr>
          <w:rFonts w:hint="eastAsia" w:ascii="仿宋_GB2312" w:hAnsi="Times New Roman" w:eastAsia="仿宋_GB2312" w:cs="Times New Roman"/>
          <w:color w:val="auto"/>
          <w:sz w:val="32"/>
          <w:szCs w:val="32"/>
          <w:highlight w:val="none"/>
        </w:rPr>
        <w:t>2020年部门预算公开如下：</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一、部门职责及机构设置情况</w:t>
      </w:r>
    </w:p>
    <w:p>
      <w:pPr>
        <w:ind w:firstLine="643" w:firstLineChars="200"/>
        <w:rPr>
          <w:rFonts w:hAnsi="宋体"/>
          <w:color w:val="auto"/>
          <w:highlight w:val="none"/>
        </w:rPr>
      </w:pPr>
      <w:r>
        <w:rPr>
          <w:rFonts w:hint="eastAsia" w:ascii="楷体_GB2312" w:hAnsi="Times New Roman" w:eastAsia="楷体_GB2312" w:cs="Times New Roman"/>
          <w:b/>
          <w:color w:val="auto"/>
          <w:sz w:val="32"/>
          <w:szCs w:val="32"/>
          <w:highlight w:val="none"/>
        </w:rPr>
        <w:t>部门职责：</w:t>
      </w:r>
      <w:r>
        <w:rPr>
          <w:rFonts w:ascii="宋体" w:hAnsi="宋体"/>
          <w:color w:val="auto"/>
          <w:highlight w:val="none"/>
        </w:rPr>
        <w:t xml:space="preserve"> </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中国共产党霸州市委员会</w:t>
      </w:r>
      <w:r>
        <w:rPr>
          <w:rFonts w:hint="eastAsia" w:ascii="仿宋_GB2312" w:hAnsi="Times New Roman" w:eastAsia="仿宋_GB2312" w:cs="Times New Roman"/>
          <w:color w:val="auto"/>
          <w:sz w:val="32"/>
          <w:szCs w:val="32"/>
          <w:highlight w:val="none"/>
        </w:rPr>
        <w:t>宣传部主要职责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（一）拟订全市宣传思想文化工作重大方针政策和事业发展总体规划，统筹协调推进宣传思想文化领域法治建设，按照市委统一部署，协调宣传思想文化系统各部门之间的工作。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（二）统筹协调全市党的意识形态工作，贯彻落实市委关于意识形态工作决策部署，组织协调意识形态工作责任制落实和日常监督检查，结合巡察工作开展专项检查。</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（三）统筹指导协调全市理论研究、理论学习、理论宣传工作，组织推动理论武装工作，推动落实马克思主义理论研究和建设工程任务，负责市委理论学习中心组理论学习的有关工作。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负责规划组织全市全局性思想政治工作任务，组织对全市先进典型的学习推广。配合市委组织部做好基层党员教育工作，指导协调编写党员教育教材，会同有关部门研究和改进群众思想教育工作。负责全市爱国主义教育基地的建设、管理、使用。负责全市国防教育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（五）统筹分析研判和引导全市社会舆论，指导协调市直各新闻单位的工作，组织全市突发公共事件应急新闻工作。承担市突发公共事件应急新闻办公室日常工作。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六）拟订全市新闻出版业的管理政策并督促落实，管理新闻出版行政事务，统筹规划和指导协调新闻出版事业、产业发展，协助做好出版物内容和质量的监督管理，监督管理印刷业，管理著作权等。组织指导协调全市“扫黄打非”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（七）从宏观上统筹指导协调全市互联网宣传和信息内容管理工作。统筹数字新媒体的建设和管理。</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（八）从宏观上统筹指导协调推动全市精神文化产品的创作和生产，协调组织中华优秀传统文化传承发展有关工作，指导协调推动群众文化建设。</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（九）负责管理全市电影行政事务，指导监管电影制片、发行、放映工作，组织对电影内容进行审查，指导协调全市性重大电影活动。</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对全市新闻出版、广播影视、文化艺术业改革发展研究提出政策性建议，统筹指导协调文化体制改革和文化事业、文化产业及旅游业发展，负责市级文化企业国有资产监督管理。承担市文化体制改革和发展工作领导小组办公室日常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（十一）统筹指导全市舆情信息工作，组织协调开展舆情信息收集分析研判工作，跟踪了解、研究掌握宣传舆情动态。</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（十二）统筹研究拟定有关全市精神文明建设的方针、政策。规划部署全市精神文明建设工作，组织指导全市群众性精神文明创建活动。</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（十三）统筹协调全市对外宣传工作。指导协调有关部门研究拟订全市对外宣传事业发展规划，组织协调我市对外宣传文化交流工作，会同有关部门做好境外记者采访事务方面工作。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四）统筹协调组织开展新闻发布工作。承担市委新闻发布有关组织协调工作，负责市政府新闻发布组织实施工作。指导协调市政府各部门和各乡镇（区、办）的新闻发布工作，推动新闻发言人制度落实。拟订我市重大问题对外宣传口径。</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五）统筹指导协调全市哲学社会科学发展工作。组织制定发展战略、中长期规划和专项计划。负责组织开展市级新型智库建设工作，协调推动全市中国特色新型智库建设。组织哲学社会科学研究课题成果转化应用等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六）受市委委托，会同市委组织部管理新闻、文化、出版、社会科学研究和互联网信息等方面市直宣传文化单位的领导干部。对各乡镇（区、办）党委宣传委员的任免提出意见。负责有关重要宣传舆论阵地和重要岗位领导干部管理工作。负责组织开展宣传思想文化系统干部教育培训和人才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（十七）对市互联网信息办公室互联网宣传和信息内容管理方面的工作实施方针、政策的指导。归口领导市文化广电和旅游局、市融媒体中心。</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（十八）完成市委交办的其他任务。</w:t>
      </w:r>
    </w:p>
    <w:p>
      <w:pPr>
        <w:autoSpaceDE w:val="0"/>
        <w:autoSpaceDN w:val="0"/>
        <w:adjustRightInd w:val="0"/>
        <w:ind w:firstLine="643" w:firstLineChars="200"/>
        <w:jc w:val="left"/>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机构设置：</w:t>
      </w:r>
    </w:p>
    <w:p>
      <w:pPr>
        <w:jc w:val="center"/>
        <w:outlineLvl w:val="0"/>
        <w:rPr>
          <w:rFonts w:ascii="Times New Roman" w:hAnsi="Times New Roman" w:eastAsia="方正小标宋_GBK" w:cs="Times New Roman"/>
          <w:color w:val="auto"/>
          <w:sz w:val="32"/>
          <w:szCs w:val="24"/>
          <w:highlight w:val="none"/>
        </w:rPr>
      </w:pPr>
      <w:r>
        <w:rPr>
          <w:rFonts w:ascii="Times New Roman" w:hAnsi="Times New Roman" w:eastAsia="方正小标宋_GBK" w:cs="Times New Roman"/>
          <w:color w:val="auto"/>
          <w:sz w:val="32"/>
          <w:szCs w:val="24"/>
          <w:highlight w:val="none"/>
        </w:rPr>
        <w:t>部门</w:t>
      </w:r>
      <w:r>
        <w:rPr>
          <w:rFonts w:hint="eastAsia" w:ascii="Times New Roman" w:hAnsi="Times New Roman" w:eastAsia="方正小标宋_GBK" w:cs="Times New Roman"/>
          <w:color w:val="auto"/>
          <w:sz w:val="32"/>
          <w:szCs w:val="24"/>
          <w:highlight w:val="none"/>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中国共产党霸州市委员会宣传部</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财政拨款（行政机关）</w:t>
            </w:r>
          </w:p>
        </w:tc>
      </w:tr>
    </w:tbl>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二、部门预算安排的总体情况</w:t>
      </w:r>
    </w:p>
    <w:p>
      <w:pPr>
        <w:ind w:firstLine="64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按照预算管理有关规定，目前我市部门预算的编制实行综合预算制度，即全部收入和支出都反映在预算中。</w:t>
      </w:r>
    </w:p>
    <w:p>
      <w:pPr>
        <w:ind w:firstLine="64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1、收入说明</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反映本部门当年全部收入。20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年预算收入</w:t>
      </w:r>
      <w:r>
        <w:rPr>
          <w:rFonts w:hint="eastAsia" w:ascii="仿宋_GB2312" w:hAnsi="Times New Roman" w:eastAsia="仿宋_GB2312" w:cs="Times New Roman"/>
          <w:color w:val="auto"/>
          <w:sz w:val="32"/>
          <w:szCs w:val="32"/>
          <w:highlight w:val="none"/>
          <w:lang w:val="en-US" w:eastAsia="zh-CN"/>
        </w:rPr>
        <w:t>1405.62</w:t>
      </w:r>
      <w:r>
        <w:rPr>
          <w:rFonts w:hint="eastAsia" w:ascii="仿宋_GB2312" w:hAnsi="Times New Roman" w:eastAsia="仿宋_GB2312" w:cs="Times New Roman"/>
          <w:color w:val="auto"/>
          <w:sz w:val="32"/>
          <w:szCs w:val="32"/>
          <w:highlight w:val="none"/>
        </w:rPr>
        <w:t>万元，其中：一般公共预算收入</w:t>
      </w:r>
      <w:r>
        <w:rPr>
          <w:rFonts w:hint="eastAsia" w:ascii="仿宋_GB2312" w:hAnsi="Times New Roman" w:eastAsia="仿宋_GB2312" w:cs="Times New Roman"/>
          <w:color w:val="auto"/>
          <w:sz w:val="32"/>
          <w:szCs w:val="32"/>
          <w:highlight w:val="none"/>
          <w:lang w:val="en-US" w:eastAsia="zh-CN"/>
        </w:rPr>
        <w:t>1320.62</w:t>
      </w:r>
      <w:r>
        <w:rPr>
          <w:rFonts w:hint="eastAsia" w:ascii="仿宋_GB2312" w:hAnsi="Times New Roman" w:eastAsia="仿宋_GB2312" w:cs="Times New Roman"/>
          <w:color w:val="auto"/>
          <w:sz w:val="32"/>
          <w:szCs w:val="32"/>
          <w:highlight w:val="none"/>
        </w:rPr>
        <w:t>万元，政府性基金预算收入</w:t>
      </w:r>
      <w:r>
        <w:rPr>
          <w:rFonts w:hint="eastAsia" w:ascii="仿宋_GB2312" w:hAnsi="Times New Roman" w:eastAsia="仿宋_GB2312" w:cs="Times New Roman"/>
          <w:color w:val="auto"/>
          <w:sz w:val="32"/>
          <w:szCs w:val="32"/>
          <w:highlight w:val="none"/>
          <w:lang w:val="en-US" w:eastAsia="zh-CN"/>
        </w:rPr>
        <w:t>85</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，国有资本经营</w:t>
      </w:r>
      <w:r>
        <w:rPr>
          <w:rFonts w:ascii="仿宋_GB2312" w:hAnsi="Times New Roman" w:eastAsia="仿宋_GB2312" w:cs="Times New Roman"/>
          <w:color w:val="auto"/>
          <w:sz w:val="32"/>
          <w:szCs w:val="32"/>
          <w:highlight w:val="none"/>
        </w:rPr>
        <w:t>预算收入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w:t>
      </w:r>
      <w:r>
        <w:rPr>
          <w:rFonts w:ascii="仿宋_GB2312" w:hAnsi="Times New Roman" w:eastAsia="仿宋_GB2312" w:cs="Times New Roman"/>
          <w:color w:val="auto"/>
          <w:sz w:val="32"/>
          <w:szCs w:val="32"/>
          <w:highlight w:val="none"/>
        </w:rPr>
        <w:t>上级补助收入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事业收入</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万元，经营</w:t>
      </w:r>
      <w:r>
        <w:rPr>
          <w:rFonts w:ascii="仿宋_GB2312" w:hAnsi="Times New Roman" w:eastAsia="仿宋_GB2312" w:cs="Times New Roman"/>
          <w:color w:val="auto"/>
          <w:sz w:val="32"/>
          <w:szCs w:val="32"/>
          <w:highlight w:val="none"/>
        </w:rPr>
        <w:t>收入</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万元，附属单位上缴</w:t>
      </w:r>
      <w:r>
        <w:rPr>
          <w:rFonts w:ascii="仿宋_GB2312" w:hAnsi="Times New Roman" w:eastAsia="仿宋_GB2312" w:cs="Times New Roman"/>
          <w:color w:val="auto"/>
          <w:sz w:val="32"/>
          <w:szCs w:val="32"/>
          <w:highlight w:val="none"/>
        </w:rPr>
        <w:t>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其他收入</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p>
    <w:p>
      <w:pPr>
        <w:ind w:firstLine="64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2、支出说明</w:t>
      </w:r>
    </w:p>
    <w:p>
      <w:pPr>
        <w:ind w:firstLine="64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highlight w:val="none"/>
          <w:lang w:eastAsia="zh-CN"/>
        </w:rPr>
        <w:t>中国共产党霸州市委员会</w:t>
      </w: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年度部门预算中支出预算的总体情况。20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年本部门支出预算</w:t>
      </w:r>
      <w:r>
        <w:rPr>
          <w:rFonts w:hint="eastAsia" w:ascii="仿宋_GB2312" w:hAnsi="Times New Roman" w:eastAsia="仿宋_GB2312" w:cs="Times New Roman"/>
          <w:color w:val="auto"/>
          <w:sz w:val="32"/>
          <w:szCs w:val="32"/>
          <w:highlight w:val="none"/>
          <w:lang w:val="en-US" w:eastAsia="zh-CN"/>
        </w:rPr>
        <w:t>1405.62</w:t>
      </w:r>
      <w:r>
        <w:rPr>
          <w:rFonts w:hint="eastAsia" w:ascii="仿宋_GB2312" w:hAnsi="Times New Roman" w:eastAsia="仿宋_GB2312" w:cs="Times New Roman"/>
          <w:color w:val="auto"/>
          <w:sz w:val="32"/>
          <w:szCs w:val="32"/>
          <w:highlight w:val="none"/>
        </w:rPr>
        <w:t>万元，其中：基本支出</w:t>
      </w:r>
      <w:r>
        <w:rPr>
          <w:rFonts w:hint="eastAsia" w:ascii="仿宋_GB2312" w:hAnsi="Times New Roman" w:eastAsia="仿宋_GB2312" w:cs="Times New Roman"/>
          <w:color w:val="auto"/>
          <w:sz w:val="32"/>
          <w:szCs w:val="32"/>
          <w:highlight w:val="none"/>
          <w:lang w:val="en-US" w:eastAsia="zh-CN"/>
        </w:rPr>
        <w:t>387.5</w:t>
      </w:r>
      <w:r>
        <w:rPr>
          <w:rFonts w:hint="eastAsia" w:ascii="仿宋_GB2312" w:hAnsi="Times New Roman" w:eastAsia="仿宋_GB2312" w:cs="Times New Roman"/>
          <w:color w:val="auto"/>
          <w:sz w:val="32"/>
          <w:szCs w:val="32"/>
          <w:highlight w:val="none"/>
        </w:rPr>
        <w:t>万元，包括：人员经费</w:t>
      </w:r>
      <w:r>
        <w:rPr>
          <w:rFonts w:hint="eastAsia" w:ascii="仿宋_GB2312" w:hAnsi="Times New Roman" w:eastAsia="仿宋_GB2312" w:cs="Times New Roman"/>
          <w:color w:val="auto"/>
          <w:sz w:val="32"/>
          <w:szCs w:val="32"/>
          <w:highlight w:val="none"/>
          <w:lang w:val="en-US" w:eastAsia="zh-CN"/>
        </w:rPr>
        <w:t>341.64</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和日常公用经费</w:t>
      </w:r>
      <w:r>
        <w:rPr>
          <w:rFonts w:hint="eastAsia" w:ascii="仿宋_GB2312" w:hAnsi="Times New Roman" w:eastAsia="仿宋_GB2312" w:cs="Times New Roman"/>
          <w:color w:val="auto"/>
          <w:sz w:val="32"/>
          <w:szCs w:val="32"/>
          <w:highlight w:val="none"/>
          <w:lang w:val="en-US" w:eastAsia="zh-CN"/>
        </w:rPr>
        <w:t>45.86</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；项目支出</w:t>
      </w:r>
      <w:r>
        <w:rPr>
          <w:rFonts w:hint="eastAsia" w:ascii="仿宋_GB2312" w:hAnsi="Times New Roman" w:eastAsia="仿宋_GB2312" w:cs="Times New Roman"/>
          <w:color w:val="auto"/>
          <w:sz w:val="32"/>
          <w:szCs w:val="32"/>
          <w:highlight w:val="none"/>
          <w:lang w:val="en-US" w:eastAsia="zh-CN"/>
        </w:rPr>
        <w:t>1018.12</w:t>
      </w:r>
      <w:r>
        <w:rPr>
          <w:rFonts w:hint="eastAsia" w:ascii="仿宋_GB2312" w:hAnsi="Times New Roman" w:eastAsia="仿宋_GB2312" w:cs="Times New Roman"/>
          <w:color w:val="auto"/>
          <w:sz w:val="32"/>
          <w:szCs w:val="32"/>
          <w:highlight w:val="none"/>
        </w:rPr>
        <w:t>万元，全部为本级</w:t>
      </w:r>
      <w:r>
        <w:rPr>
          <w:rFonts w:ascii="仿宋_GB2312" w:hAnsi="Times New Roman" w:eastAsia="仿宋_GB2312" w:cs="Times New Roman"/>
          <w:color w:val="auto"/>
          <w:sz w:val="32"/>
          <w:szCs w:val="32"/>
          <w:highlight w:val="none"/>
        </w:rPr>
        <w:t>支出，</w:t>
      </w:r>
      <w:r>
        <w:rPr>
          <w:rFonts w:hint="eastAsia" w:ascii="仿宋_GB2312" w:hAnsi="Times New Roman" w:eastAsia="仿宋_GB2312" w:cs="Times New Roman"/>
          <w:color w:val="auto"/>
          <w:sz w:val="32"/>
          <w:szCs w:val="32"/>
          <w:highlight w:val="none"/>
        </w:rPr>
        <w:t>主要为</w:t>
      </w:r>
      <w:r>
        <w:rPr>
          <w:rFonts w:hint="eastAsia" w:ascii="仿宋_GB2312" w:hAnsi="Times New Roman" w:eastAsia="仿宋_GB2312" w:cs="Times New Roman"/>
          <w:color w:val="auto"/>
          <w:sz w:val="32"/>
          <w:szCs w:val="32"/>
          <w:highlight w:val="none"/>
          <w:lang w:eastAsia="zh-CN"/>
        </w:rPr>
        <w:t>创建文明城市工作经费、公共文化服务体系县及配套资金（农村文化建设项目）、意识形态管理及宣传工作经费</w:t>
      </w:r>
      <w:r>
        <w:rPr>
          <w:rFonts w:hint="eastAsia" w:ascii="仿宋_GB2312" w:hAnsi="Times New Roman" w:eastAsia="仿宋_GB2312" w:cs="Times New Roman"/>
          <w:color w:val="auto"/>
          <w:sz w:val="32"/>
          <w:szCs w:val="32"/>
          <w:highlight w:val="none"/>
        </w:rPr>
        <w:t>等；上缴上级支出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r>
        <w:rPr>
          <w:rFonts w:ascii="仿宋_GB2312" w:hAnsi="Times New Roman" w:eastAsia="仿宋_GB2312" w:cs="Times New Roman"/>
          <w:color w:val="auto"/>
          <w:sz w:val="32"/>
          <w:szCs w:val="32"/>
          <w:highlight w:val="none"/>
        </w:rPr>
        <w:t>经营支出</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对附属单位补助支出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p>
    <w:p>
      <w:pPr>
        <w:ind w:firstLine="64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3、比上年增减情况</w:t>
      </w:r>
    </w:p>
    <w:p>
      <w:pPr>
        <w:ind w:firstLine="640"/>
        <w:rPr>
          <w:rFonts w:hint="default" w:ascii="仿宋_GB2312" w:hAnsi="黑体"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年预算</w:t>
      </w:r>
      <w:r>
        <w:rPr>
          <w:rFonts w:hint="eastAsia" w:ascii="仿宋_GB2312" w:hAnsi="Times New Roman" w:eastAsia="仿宋_GB2312" w:cs="Times New Roman"/>
          <w:color w:val="auto"/>
          <w:sz w:val="32"/>
          <w:szCs w:val="32"/>
          <w:highlight w:val="none"/>
          <w:lang w:eastAsia="zh-CN"/>
        </w:rPr>
        <w:t>支出</w:t>
      </w:r>
      <w:r>
        <w:rPr>
          <w:rFonts w:hint="eastAsia" w:ascii="仿宋_GB2312" w:hAnsi="Times New Roman" w:eastAsia="仿宋_GB2312" w:cs="Times New Roman"/>
          <w:color w:val="auto"/>
          <w:sz w:val="32"/>
          <w:szCs w:val="32"/>
          <w:highlight w:val="none"/>
        </w:rPr>
        <w:t>安排</w:t>
      </w:r>
      <w:r>
        <w:rPr>
          <w:rFonts w:hint="eastAsia" w:ascii="仿宋_GB2312" w:hAnsi="Times New Roman" w:eastAsia="仿宋_GB2312" w:cs="Times New Roman"/>
          <w:color w:val="auto"/>
          <w:sz w:val="32"/>
          <w:szCs w:val="32"/>
          <w:highlight w:val="none"/>
          <w:lang w:val="en-US" w:eastAsia="zh-CN"/>
        </w:rPr>
        <w:t>1405.62</w:t>
      </w:r>
      <w:r>
        <w:rPr>
          <w:rFonts w:hint="eastAsia" w:ascii="仿宋_GB2312" w:hAnsi="Times New Roman" w:eastAsia="仿宋_GB2312" w:cs="Times New Roman"/>
          <w:color w:val="auto"/>
          <w:sz w:val="32"/>
          <w:szCs w:val="32"/>
          <w:highlight w:val="none"/>
        </w:rPr>
        <w:t>万元，较20</w:t>
      </w:r>
      <w:r>
        <w:rPr>
          <w:rFonts w:ascii="仿宋_GB2312" w:hAnsi="Times New Roman" w:eastAsia="仿宋_GB2312" w:cs="Times New Roman"/>
          <w:color w:val="auto"/>
          <w:sz w:val="32"/>
          <w:szCs w:val="32"/>
          <w:highlight w:val="none"/>
        </w:rPr>
        <w:t>19</w:t>
      </w:r>
      <w:r>
        <w:rPr>
          <w:rFonts w:hint="eastAsia" w:ascii="仿宋_GB2312" w:hAnsi="Times New Roman" w:eastAsia="仿宋_GB2312" w:cs="Times New Roman"/>
          <w:color w:val="auto"/>
          <w:sz w:val="32"/>
          <w:szCs w:val="32"/>
          <w:highlight w:val="none"/>
        </w:rPr>
        <w:t>年预算减少</w:t>
      </w:r>
      <w:r>
        <w:rPr>
          <w:rFonts w:hint="eastAsia" w:ascii="仿宋_GB2312" w:hAnsi="Times New Roman" w:eastAsia="仿宋_GB2312" w:cs="Times New Roman"/>
          <w:color w:val="auto"/>
          <w:sz w:val="32"/>
          <w:szCs w:val="32"/>
          <w:highlight w:val="none"/>
          <w:lang w:val="en-US" w:eastAsia="zh-CN"/>
        </w:rPr>
        <w:t>171.56</w:t>
      </w:r>
      <w:r>
        <w:rPr>
          <w:rFonts w:hint="eastAsia" w:ascii="仿宋_GB2312" w:hAnsi="Times New Roman" w:eastAsia="仿宋_GB2312" w:cs="Times New Roman"/>
          <w:color w:val="auto"/>
          <w:sz w:val="32"/>
          <w:szCs w:val="32"/>
          <w:highlight w:val="none"/>
        </w:rPr>
        <w:t>万元，其中：基本支出减少</w:t>
      </w:r>
      <w:r>
        <w:rPr>
          <w:rFonts w:hint="eastAsia" w:ascii="仿宋_GB2312" w:hAnsi="Times New Roman" w:eastAsia="仿宋_GB2312" w:cs="Times New Roman"/>
          <w:color w:val="auto"/>
          <w:sz w:val="32"/>
          <w:szCs w:val="32"/>
          <w:highlight w:val="none"/>
          <w:lang w:val="en-US" w:eastAsia="zh-CN"/>
        </w:rPr>
        <w:t>289.73</w:t>
      </w:r>
      <w:r>
        <w:rPr>
          <w:rFonts w:hint="eastAsia" w:ascii="仿宋_GB2312" w:hAnsi="Times New Roman" w:eastAsia="仿宋_GB2312" w:cs="Times New Roman"/>
          <w:color w:val="auto"/>
          <w:sz w:val="32"/>
          <w:szCs w:val="32"/>
          <w:highlight w:val="none"/>
        </w:rPr>
        <w:t>万元，主要为减少</w:t>
      </w:r>
      <w:r>
        <w:rPr>
          <w:rFonts w:hint="eastAsia" w:ascii="仿宋_GB2312" w:hAnsi="Times New Roman" w:eastAsia="仿宋_GB2312" w:cs="Times New Roman"/>
          <w:color w:val="auto"/>
          <w:sz w:val="32"/>
          <w:szCs w:val="32"/>
          <w:highlight w:val="none"/>
          <w:lang w:eastAsia="zh-CN"/>
        </w:rPr>
        <w:t>日常公用</w:t>
      </w:r>
      <w:r>
        <w:rPr>
          <w:rFonts w:hint="eastAsia" w:ascii="仿宋_GB2312" w:hAnsi="Times New Roman" w:eastAsia="仿宋_GB2312" w:cs="Times New Roman"/>
          <w:color w:val="auto"/>
          <w:sz w:val="32"/>
          <w:szCs w:val="32"/>
          <w:highlight w:val="none"/>
        </w:rPr>
        <w:t>支出；项目支出</w:t>
      </w:r>
      <w:r>
        <w:rPr>
          <w:rFonts w:hint="eastAsia" w:ascii="仿宋_GB2312" w:hAnsi="Times New Roman" w:eastAsia="仿宋_GB2312" w:cs="Times New Roman"/>
          <w:color w:val="auto"/>
          <w:sz w:val="32"/>
          <w:szCs w:val="32"/>
          <w:highlight w:val="none"/>
          <w:lang w:eastAsia="zh-CN"/>
        </w:rPr>
        <w:t>增加</w:t>
      </w:r>
      <w:r>
        <w:rPr>
          <w:rFonts w:hint="eastAsia" w:ascii="仿宋_GB2312" w:hAnsi="Times New Roman" w:eastAsia="仿宋_GB2312" w:cs="Times New Roman"/>
          <w:color w:val="auto"/>
          <w:sz w:val="32"/>
          <w:szCs w:val="32"/>
          <w:highlight w:val="none"/>
          <w:lang w:val="en-US" w:eastAsia="zh-CN"/>
        </w:rPr>
        <w:t>118.17</w:t>
      </w:r>
      <w:r>
        <w:rPr>
          <w:rFonts w:hint="eastAsia" w:ascii="仿宋_GB2312" w:hAnsi="Times New Roman" w:eastAsia="仿宋_GB2312" w:cs="Times New Roman"/>
          <w:color w:val="auto"/>
          <w:sz w:val="32"/>
          <w:szCs w:val="32"/>
          <w:highlight w:val="none"/>
        </w:rPr>
        <w:t>万元，主要为增加</w:t>
      </w:r>
      <w:r>
        <w:rPr>
          <w:rFonts w:hint="eastAsia" w:ascii="仿宋_GB2312" w:hAnsi="Times New Roman" w:eastAsia="仿宋_GB2312" w:cs="Times New Roman"/>
          <w:color w:val="auto"/>
          <w:sz w:val="32"/>
          <w:szCs w:val="32"/>
          <w:highlight w:val="none"/>
          <w:lang w:eastAsia="zh-CN"/>
        </w:rPr>
        <w:t>公共文化服务体系县级配套资金（农村文化建设项目、关于提前下达</w:t>
      </w:r>
      <w:r>
        <w:rPr>
          <w:rFonts w:hint="eastAsia" w:ascii="仿宋_GB2312" w:hAnsi="Times New Roman" w:eastAsia="仿宋_GB2312" w:cs="Times New Roman"/>
          <w:color w:val="auto"/>
          <w:sz w:val="32"/>
          <w:szCs w:val="32"/>
          <w:highlight w:val="none"/>
          <w:lang w:val="en-US" w:eastAsia="zh-CN"/>
        </w:rPr>
        <w:t>2020年中央补助地方公共文化服务体系建设专项资金预算的通知（冀财教[2019]134号）（农村文化建设项目）、关于提前下达2020年中央补助地方国家电影事业发展专项资金预算的通知（冀财教[2019]99号）等</w:t>
      </w:r>
      <w:r>
        <w:rPr>
          <w:rFonts w:hint="eastAsia" w:ascii="仿宋_GB2312" w:hAnsi="Times New Roman" w:eastAsia="仿宋_GB2312" w:cs="Times New Roman"/>
          <w:color w:val="auto"/>
          <w:sz w:val="32"/>
          <w:szCs w:val="32"/>
          <w:highlight w:val="none"/>
        </w:rPr>
        <w:t>项目支出。20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年预算</w:t>
      </w:r>
      <w:r>
        <w:rPr>
          <w:rFonts w:hint="eastAsia" w:ascii="仿宋_GB2312" w:hAnsi="Times New Roman" w:eastAsia="仿宋_GB2312" w:cs="Times New Roman"/>
          <w:color w:val="auto"/>
          <w:sz w:val="32"/>
          <w:szCs w:val="32"/>
          <w:highlight w:val="none"/>
          <w:lang w:eastAsia="zh-CN"/>
        </w:rPr>
        <w:t>收入</w:t>
      </w:r>
      <w:r>
        <w:rPr>
          <w:rFonts w:hint="eastAsia" w:ascii="仿宋_GB2312" w:hAnsi="Times New Roman" w:eastAsia="仿宋_GB2312" w:cs="Times New Roman"/>
          <w:color w:val="auto"/>
          <w:sz w:val="32"/>
          <w:szCs w:val="32"/>
          <w:highlight w:val="none"/>
        </w:rPr>
        <w:t>安排</w:t>
      </w:r>
      <w:r>
        <w:rPr>
          <w:rFonts w:hint="eastAsia" w:ascii="仿宋_GB2312" w:hAnsi="Times New Roman" w:eastAsia="仿宋_GB2312" w:cs="Times New Roman"/>
          <w:color w:val="auto"/>
          <w:sz w:val="32"/>
          <w:szCs w:val="32"/>
          <w:highlight w:val="none"/>
          <w:lang w:val="en-US" w:eastAsia="zh-CN"/>
        </w:rPr>
        <w:t>1405.62</w:t>
      </w:r>
      <w:r>
        <w:rPr>
          <w:rFonts w:hint="eastAsia" w:ascii="仿宋_GB2312" w:hAnsi="Times New Roman" w:eastAsia="仿宋_GB2312" w:cs="Times New Roman"/>
          <w:color w:val="auto"/>
          <w:sz w:val="32"/>
          <w:szCs w:val="32"/>
          <w:highlight w:val="none"/>
        </w:rPr>
        <w:t>万元，较20</w:t>
      </w:r>
      <w:r>
        <w:rPr>
          <w:rFonts w:ascii="仿宋_GB2312" w:hAnsi="Times New Roman" w:eastAsia="仿宋_GB2312" w:cs="Times New Roman"/>
          <w:color w:val="auto"/>
          <w:sz w:val="32"/>
          <w:szCs w:val="32"/>
          <w:highlight w:val="none"/>
        </w:rPr>
        <w:t>19</w:t>
      </w:r>
      <w:r>
        <w:rPr>
          <w:rFonts w:hint="eastAsia" w:ascii="仿宋_GB2312" w:hAnsi="Times New Roman" w:eastAsia="仿宋_GB2312" w:cs="Times New Roman"/>
          <w:color w:val="auto"/>
          <w:sz w:val="32"/>
          <w:szCs w:val="32"/>
          <w:highlight w:val="none"/>
        </w:rPr>
        <w:t>年预算减少</w:t>
      </w:r>
      <w:r>
        <w:rPr>
          <w:rFonts w:hint="eastAsia" w:ascii="仿宋_GB2312" w:hAnsi="Times New Roman" w:eastAsia="仿宋_GB2312" w:cs="Times New Roman"/>
          <w:color w:val="auto"/>
          <w:sz w:val="32"/>
          <w:szCs w:val="32"/>
          <w:highlight w:val="none"/>
          <w:lang w:val="en-US" w:eastAsia="zh-CN"/>
        </w:rPr>
        <w:t>171.56</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其中：一般公共预算收入减少</w:t>
      </w:r>
      <w:r>
        <w:rPr>
          <w:rFonts w:hint="eastAsia" w:ascii="仿宋_GB2312" w:hAnsi="Times New Roman" w:eastAsia="仿宋_GB2312" w:cs="Times New Roman"/>
          <w:color w:val="auto"/>
          <w:sz w:val="32"/>
          <w:szCs w:val="32"/>
          <w:highlight w:val="none"/>
          <w:lang w:val="en-US" w:eastAsia="zh-CN"/>
        </w:rPr>
        <w:t>230.56，主要为减少文化产业引导资金；政府性基金预算收入增加59万元，主要为增加企事业单位补贴资金（关于提前下达2020年中央补助地方国家电影事业发展专项资金预算的通知（冀财教[2019]99号）、关于提前下达2020年省级国家电影事业发展专项资金的通知（冀财教[2019]113号））</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机关运行经费共计安排</w:t>
      </w:r>
      <w:r>
        <w:rPr>
          <w:rFonts w:hint="eastAsia" w:ascii="仿宋_GB2312" w:hAnsi="Times New Roman" w:eastAsia="仿宋_GB2312" w:cs="Times New Roman"/>
          <w:color w:val="auto"/>
          <w:sz w:val="32"/>
          <w:szCs w:val="32"/>
          <w:highlight w:val="none"/>
          <w:lang w:val="en-US" w:eastAsia="zh-CN"/>
        </w:rPr>
        <w:t>45.86</w:t>
      </w:r>
      <w:r>
        <w:rPr>
          <w:rFonts w:hint="eastAsia" w:ascii="仿宋_GB2312" w:hAnsi="Times New Roman" w:eastAsia="仿宋_GB2312" w:cs="Times New Roman"/>
          <w:color w:val="auto"/>
          <w:sz w:val="32"/>
          <w:szCs w:val="32"/>
          <w:highlight w:val="none"/>
        </w:rPr>
        <w:t>万元，主要用于办公区的日常维修、办公用房水电费、办公用房取暖费、办公及印刷费，邮电费、差旅费、会议费、福利费、专用材料及一般设备购置费、办公用房物业管理费、公务用车运行维护费等日常运行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w:t>
      </w:r>
      <w:r>
        <w:rPr>
          <w:rFonts w:ascii="黑体" w:hAnsi="黑体" w:eastAsia="黑体" w:cs="Times New Roman"/>
          <w:color w:val="auto"/>
          <w:sz w:val="32"/>
          <w:szCs w:val="32"/>
          <w:highlight w:val="none"/>
        </w:rPr>
        <w:t>“</w:t>
      </w:r>
      <w:r>
        <w:rPr>
          <w:rFonts w:hint="eastAsia" w:ascii="黑体" w:hAnsi="黑体" w:eastAsia="黑体" w:cs="Times New Roman"/>
          <w:color w:val="auto"/>
          <w:sz w:val="32"/>
          <w:szCs w:val="32"/>
          <w:highlight w:val="none"/>
        </w:rPr>
        <w:t>三公</w:t>
      </w:r>
      <w:r>
        <w:rPr>
          <w:rFonts w:ascii="黑体" w:hAnsi="黑体" w:eastAsia="黑体" w:cs="Times New Roman"/>
          <w:color w:val="auto"/>
          <w:sz w:val="32"/>
          <w:szCs w:val="32"/>
          <w:highlight w:val="none"/>
        </w:rPr>
        <w:t>”</w:t>
      </w:r>
      <w:r>
        <w:rPr>
          <w:rFonts w:hint="eastAsia" w:ascii="黑体" w:hAnsi="黑体" w:eastAsia="黑体" w:cs="Times New Roman"/>
          <w:color w:val="auto"/>
          <w:sz w:val="32"/>
          <w:szCs w:val="32"/>
          <w:highlight w:val="none"/>
        </w:rPr>
        <w:t>经费预算情况及增减变化原因</w:t>
      </w:r>
    </w:p>
    <w:p>
      <w:pPr>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年，我部门“三公”经费预算安排</w:t>
      </w:r>
      <w:r>
        <w:rPr>
          <w:rFonts w:hint="eastAsia" w:ascii="仿宋_GB2312" w:hAnsi="Times New Roman" w:eastAsia="仿宋_GB2312" w:cs="Times New Roman"/>
          <w:color w:val="auto"/>
          <w:sz w:val="32"/>
          <w:szCs w:val="32"/>
          <w:highlight w:val="none"/>
          <w:lang w:val="en-US" w:eastAsia="zh-CN"/>
        </w:rPr>
        <w:t>5.32</w:t>
      </w:r>
      <w:r>
        <w:rPr>
          <w:rFonts w:hint="eastAsia" w:ascii="仿宋_GB2312" w:hAnsi="Times New Roman" w:eastAsia="仿宋_GB2312" w:cs="Times New Roman"/>
          <w:color w:val="auto"/>
          <w:sz w:val="32"/>
          <w:szCs w:val="32"/>
          <w:highlight w:val="none"/>
        </w:rPr>
        <w:t>万元，其中：因公出国（境）费</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万元；公务用车购置及运维费</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万元（其中：公务用车购置费</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万元，公务用车运行维护费</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万元)；公务接待费</w:t>
      </w:r>
      <w:r>
        <w:rPr>
          <w:rFonts w:hint="eastAsia" w:ascii="仿宋_GB2312" w:hAnsi="Times New Roman" w:eastAsia="仿宋_GB2312" w:cs="Times New Roman"/>
          <w:color w:val="auto"/>
          <w:sz w:val="32"/>
          <w:szCs w:val="32"/>
          <w:highlight w:val="none"/>
          <w:lang w:val="en-US" w:eastAsia="zh-CN"/>
        </w:rPr>
        <w:t>0.32</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。较</w:t>
      </w:r>
      <w:r>
        <w:rPr>
          <w:rFonts w:hint="eastAsia" w:ascii="仿宋_GB2312" w:hAnsi="Times New Roman" w:eastAsia="仿宋_GB2312" w:cs="Times New Roman"/>
          <w:color w:val="auto"/>
          <w:sz w:val="32"/>
          <w:szCs w:val="32"/>
          <w:highlight w:val="none"/>
          <w:lang w:val="en-US" w:eastAsia="zh-CN"/>
        </w:rPr>
        <w:t>2019年“三公”经费减少0.04万元，主要是因为</w:t>
      </w:r>
      <w:r>
        <w:rPr>
          <w:rFonts w:hint="eastAsia" w:ascii="仿宋_GB2312" w:hAnsi="Times New Roman" w:eastAsia="仿宋_GB2312" w:cs="Times New Roman"/>
          <w:color w:val="auto"/>
          <w:sz w:val="32"/>
          <w:szCs w:val="32"/>
          <w:highlight w:val="none"/>
          <w:lang w:eastAsia="zh-CN"/>
        </w:rPr>
        <w:t>因公出国（境）费与</w:t>
      </w:r>
      <w:r>
        <w:rPr>
          <w:rFonts w:hint="eastAsia" w:ascii="仿宋_GB2312" w:hAnsi="Times New Roman" w:eastAsia="仿宋_GB2312" w:cs="Times New Roman"/>
          <w:color w:val="auto"/>
          <w:sz w:val="32"/>
          <w:szCs w:val="32"/>
          <w:highlight w:val="none"/>
          <w:lang w:val="en-US" w:eastAsia="zh-CN"/>
        </w:rPr>
        <w:t>2019年持平，无增减变化；公务用车购置及运维费与2019年持平，无增减变化，</w:t>
      </w:r>
      <w:r>
        <w:rPr>
          <w:rFonts w:hint="eastAsia" w:ascii="仿宋_GB2312" w:hAnsi="Times New Roman" w:eastAsia="仿宋_GB2312" w:cs="Times New Roman"/>
          <w:color w:val="auto"/>
          <w:sz w:val="32"/>
          <w:szCs w:val="32"/>
          <w:highlight w:val="none"/>
          <w:lang w:eastAsia="zh-CN"/>
        </w:rPr>
        <w:t>公务接待费减少</w:t>
      </w:r>
      <w:r>
        <w:rPr>
          <w:rFonts w:hint="eastAsia" w:ascii="仿宋_GB2312" w:hAnsi="Times New Roman" w:eastAsia="仿宋_GB2312" w:cs="Times New Roman"/>
          <w:color w:val="auto"/>
          <w:sz w:val="32"/>
          <w:szCs w:val="32"/>
          <w:highlight w:val="none"/>
          <w:lang w:val="en-US" w:eastAsia="zh-CN"/>
        </w:rPr>
        <w:t>0.04万元，减少原因是因为人员减少，提取费用减少。</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五、预算绩效信息</w:t>
      </w:r>
    </w:p>
    <w:p>
      <w:pPr>
        <w:autoSpaceDE w:val="0"/>
        <w:autoSpaceDN w:val="0"/>
        <w:adjustRightInd w:val="0"/>
        <w:ind w:firstLine="643" w:firstLineChars="200"/>
        <w:jc w:val="left"/>
        <w:rPr>
          <w:rFonts w:ascii="楷体_GB2312" w:hAnsi="Times New Roman" w:eastAsia="楷体_GB2312" w:cs="Times New Roman"/>
          <w:b/>
          <w:color w:val="auto"/>
          <w:sz w:val="32"/>
          <w:szCs w:val="32"/>
          <w:highlight w:val="none"/>
        </w:rPr>
      </w:pPr>
      <w:bookmarkStart w:id="1" w:name="_Toc471398463"/>
      <w:r>
        <w:rPr>
          <w:rFonts w:hint="eastAsia" w:ascii="楷体_GB2312" w:hAnsi="Times New Roman" w:eastAsia="楷体_GB2312" w:cs="Times New Roman"/>
          <w:b/>
          <w:color w:val="auto"/>
          <w:sz w:val="32"/>
          <w:szCs w:val="32"/>
          <w:highlight w:val="none"/>
        </w:rPr>
        <w:t>第一部分 部门整体绩效</w:t>
      </w:r>
      <w:r>
        <w:rPr>
          <w:rFonts w:ascii="楷体_GB2312" w:hAnsi="Times New Roman" w:eastAsia="楷体_GB2312" w:cs="Times New Roman"/>
          <w:b/>
          <w:color w:val="auto"/>
          <w:sz w:val="32"/>
          <w:szCs w:val="32"/>
          <w:highlight w:val="none"/>
        </w:rPr>
        <w:t>目标</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w:t>
      </w:r>
      <w:r>
        <w:rPr>
          <w:rFonts w:ascii="仿宋_GB2312" w:hAnsi="Times New Roman" w:eastAsia="仿宋_GB2312" w:cs="Times New Roman"/>
          <w:color w:val="auto"/>
          <w:sz w:val="32"/>
          <w:szCs w:val="32"/>
          <w:highlight w:val="none"/>
        </w:rPr>
        <w:t>总体绩效目标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在市委的正确领导下，坚持以科学的理论武装人，以正确的舆论引导人，以高尚的情操塑造人，以优秀的作品鼓舞人，贯彻执行党的基本路线，宣传马列主义、毛泽东思想、邓小平理论、“三个代表”重要思想，深入学习实践科学发展观，宣传党的方针政策及各个时期的形式、任务。围绕市委的中心工作，制定并组织实施全市开展宣传工作的计划，努力搞好经济建设和改革开放的宣传，把市委、市政府的重大决策和举措变成全市人民的实践活动。统筹协调全市党的意识形态工作、理论研究、理论学习、理论宣传工作；组织推动理论武装工作；从宏观上统筹指导协调全市互联网宣传和信息内容管理工作；拟定有关全市精神文明建设的方针、政策，规划部署全市精神文明建设工作；对全市新闻出版、广播影视、文化艺术业改革发展研究提出政策性建议。</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（二）分项</w:t>
      </w:r>
      <w:r>
        <w:rPr>
          <w:rFonts w:ascii="仿宋_GB2312" w:hAnsi="Times New Roman" w:eastAsia="仿宋_GB2312" w:cs="Times New Roman"/>
          <w:color w:val="auto"/>
          <w:sz w:val="32"/>
          <w:szCs w:val="32"/>
          <w:highlight w:val="none"/>
        </w:rPr>
        <w:t>绩效目标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中共霸州市委宣传部2020年部门分项绩效目标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1、做好全市意识形态及宣传思想政治工作</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通过在重要媒体、网络平台刊登各类宣传信息、召开新闻发布会等，牢牢掌握意识形态工作领导权、管理权、话语权，为全市经济社会发展提供有力的思想保证、精神动力、舆论支持和道德滋养，为全市经济社会发展提供有力思想保证。</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绩效指标：“意识形态业务培训人员数量≥100”、“在重要媒体、网络平台刊登信息数量≥300条”、“召开新闻发布会≥10次”、“突发事件新闻处置完成率≥80%”。</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2、规划部署全市精神文明建设工作</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绩效目标：通过设置公益广告，发放各类宣传资料，提升我市城乡文明程度显，逐步形成和谐向善的社会风气。</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绩效指标：“发放宣传资料≥100000份”。</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3、推动文化事业发展。</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通过印制《霸州文苑》，出版《奋斗之歌——霸州走在康庄大道上》，以及组织系列文化培训活动继承了我市优秀文化传统，满足了广大群众的文化需求。完成383个村街的图书更换配置以及农村公益电影工作，通过电影放映和图书配置提升了农村整体文化水平，保障了基层农村群众的基本文化权益。</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绩效指标：“出版图书≥1000册”、“公益电影放映场次≥4596场”、“受益人群满意及比较满意占总受益人群满意的比率≥80%”。</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（三）工作保障措施</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1、完善制度建设。制定完善预算绩效管理制度、资金管理办法、工作保障制度等，为全年预算绩效目标的实现奠定制度基础。</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2、加强支出管理。通过优化支出结构、编细编实预算、及时支付资金、确保支出进度达标。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3、加强绩效运行监控。按要求开展绩效运行监控，发现问题及时采取措施，确保绩效目标如期保质实现。</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4、做好绩效自评。按要求开展上年度部门预算绩效自评和重点评价工作，对评价中发现的问题及时整改，调整优化支出结构，提高财政资金使用效益。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5、规范财务资产管理。完善财务管理制度，严格审批程序，加强固定资产登记、使用和报废处置管理，做到支出合理，物尽其用。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7、加强宣传培训调研等。加强人员培训，提高本部门职工业务素质；加强调研，提出优化财政资金配置、提高资金使用效益的意见；加大宣传力度，强化预算绩效管理意识，促进预算绩效管理水平进一步提升。</w:t>
      </w:r>
    </w:p>
    <w:p>
      <w:pPr>
        <w:autoSpaceDE w:val="0"/>
        <w:autoSpaceDN w:val="0"/>
        <w:adjustRightInd w:val="0"/>
        <w:ind w:firstLine="643" w:firstLineChars="200"/>
        <w:jc w:val="left"/>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第二部分 预算项目</w:t>
      </w:r>
      <w:r>
        <w:rPr>
          <w:rFonts w:ascii="楷体_GB2312" w:hAnsi="Times New Roman" w:eastAsia="楷体_GB2312" w:cs="Times New Roman"/>
          <w:b/>
          <w:color w:val="auto"/>
          <w:sz w:val="32"/>
          <w:szCs w:val="32"/>
          <w:highlight w:val="none"/>
        </w:rPr>
        <w:t>绩效目标</w:t>
      </w:r>
    </w:p>
    <w:bookmarkEnd w:id="1"/>
    <w:p>
      <w:pPr>
        <w:ind w:firstLine="560" w:firstLineChars="200"/>
        <w:jc w:val="left"/>
        <w:outlineLvl w:val="1"/>
        <w:rPr>
          <w:rFonts w:hAnsi="宋体"/>
          <w:b/>
          <w:color w:val="auto"/>
          <w:sz w:val="28"/>
          <w:highlight w:val="none"/>
        </w:rPr>
      </w:pPr>
      <w:r>
        <w:rPr>
          <w:rFonts w:hint="eastAsia" w:ascii="方正仿宋_GBK" w:eastAsia="方正仿宋_GBK"/>
          <w:b/>
          <w:color w:val="auto"/>
          <w:sz w:val="28"/>
          <w:highlight w:val="none"/>
        </w:rPr>
        <w:t>1、创建文明城市工作经费绩效目标表</w:t>
      </w:r>
      <w:r>
        <w:rPr>
          <w:rFonts w:hint="eastAsia" w:ascii="方正仿宋_GBK" w:eastAsia="方正仿宋_GBK"/>
          <w:b/>
          <w:color w:val="auto"/>
          <w:sz w:val="28"/>
          <w:highlight w:val="none"/>
        </w:rPr>
        <w:fldChar w:fldCharType="begin"/>
      </w:r>
      <w:r>
        <w:rPr>
          <w:rFonts w:hint="eastAsia" w:ascii="方正仿宋_GBK" w:eastAsia="方正仿宋_GBK"/>
          <w:b/>
          <w:color w:val="auto"/>
          <w:sz w:val="28"/>
          <w:highlight w:val="none"/>
        </w:rPr>
        <w:instrText xml:space="preserve"> TC </w:instrText>
      </w:r>
      <w:bookmarkStart w:id="2" w:name="_Toc30521345"/>
      <w:r>
        <w:rPr>
          <w:rFonts w:hint="eastAsia" w:ascii="方正仿宋_GBK" w:eastAsia="方正仿宋_GBK"/>
          <w:b/>
          <w:color w:val="auto"/>
          <w:sz w:val="28"/>
          <w:highlight w:val="none"/>
        </w:rPr>
        <w:instrText xml:space="preserve">1、常委会经费绩效目标表</w:instrText>
      </w:r>
      <w:bookmarkEnd w:id="2"/>
      <w:r>
        <w:rPr>
          <w:rFonts w:hint="eastAsia" w:ascii="方正仿宋_GBK" w:eastAsia="方正仿宋_GBK"/>
          <w:b/>
          <w:color w:val="auto"/>
          <w:sz w:val="28"/>
          <w:highlight w:val="none"/>
        </w:rPr>
        <w:instrText xml:space="preserve"> \f C \l 1 </w:instrText>
      </w:r>
      <w:r>
        <w:rPr>
          <w:rFonts w:hint="eastAsia" w:ascii="方正仿宋_GBK" w:eastAsia="方正仿宋_GBK"/>
          <w:b/>
          <w:color w:val="auto"/>
          <w:sz w:val="28"/>
          <w:highlight w:val="none"/>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1：通过在全市80个行政村设置公益广告，使农村人居环境得到提升。</w:t>
            </w:r>
          </w:p>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目标2：通过发放创城纪念品开展进社区、进乡村、进学校等宣传活动，提高广大市民对创城工作的知晓率，支持率。</w:t>
            </w:r>
          </w:p>
        </w:tc>
      </w:tr>
    </w:tbl>
    <w:p>
      <w:pPr>
        <w:spacing w:line="14" w:lineRule="exact"/>
        <w:ind w:firstLine="420" w:firstLineChars="200"/>
        <w:jc w:val="center"/>
        <w:rPr>
          <w:rFonts w:ascii="Times New Roman" w:hAnsi="宋体" w:eastAsia="宋体" w:cs="Times New Roman"/>
          <w:color w:val="auto"/>
          <w:highlight w:val="none"/>
        </w:rPr>
      </w:pPr>
      <w:r>
        <w:rPr>
          <w:rFonts w:hint="eastAsia" w:ascii="方正书宋_GBK" w:eastAsia="方正书宋_GBK"/>
          <w:color w:val="auto"/>
          <w:highlight w:val="none"/>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制作与发放创城纪念品的数量（份</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反映全市对创城纪念品需要情况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≥100000份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村街创城广告设置数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为80个行政村街设置创城广告牌</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验收合格数量比总验收数的比率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纪念品质量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纪念品质量验收达标率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提升精神文明城市水平</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提升精神文明城市水平</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得到提升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Ansi="宋体"/>
          <w:b/>
          <w:color w:val="auto"/>
          <w:sz w:val="28"/>
          <w:highlight w:val="none"/>
        </w:rPr>
      </w:pPr>
      <w:r>
        <w:rPr>
          <w:rFonts w:ascii="方正仿宋_GBK" w:eastAsia="方正仿宋_GBK"/>
          <w:b/>
          <w:color w:val="auto"/>
          <w:sz w:val="28"/>
          <w:highlight w:val="none"/>
        </w:rPr>
        <w:t>2</w:t>
      </w:r>
      <w:r>
        <w:rPr>
          <w:rFonts w:hint="eastAsia" w:ascii="方正仿宋_GBK" w:eastAsia="方正仿宋_GBK"/>
          <w:b/>
          <w:color w:val="auto"/>
          <w:sz w:val="28"/>
          <w:highlight w:val="none"/>
        </w:rPr>
        <w:t>、公共文化服务体系县级配套资金（农村文化建设项目）绩效目标表</w:t>
      </w:r>
      <w:r>
        <w:rPr>
          <w:rFonts w:hint="eastAsia" w:ascii="方正仿宋_GBK" w:eastAsia="方正仿宋_GBK"/>
          <w:b/>
          <w:color w:val="auto"/>
          <w:sz w:val="28"/>
          <w:highlight w:val="none"/>
        </w:rPr>
        <w:fldChar w:fldCharType="begin"/>
      </w:r>
      <w:r>
        <w:rPr>
          <w:rFonts w:hint="eastAsia" w:ascii="方正仿宋_GBK" w:eastAsia="方正仿宋_GBK"/>
          <w:b/>
          <w:color w:val="auto"/>
          <w:sz w:val="28"/>
          <w:highlight w:val="none"/>
        </w:rPr>
        <w:instrText xml:space="preserve"> TC 1、常委会经费绩效目标表 \f C \l 1 </w:instrText>
      </w:r>
      <w:r>
        <w:rPr>
          <w:rFonts w:hint="eastAsia" w:ascii="方正仿宋_GBK" w:eastAsia="方正仿宋_GBK"/>
          <w:b/>
          <w:color w:val="auto"/>
          <w:sz w:val="28"/>
          <w:highlight w:val="none"/>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1：完成383个村街的图书更换配置工作，补充更新农家书屋出版物。</w:t>
            </w:r>
          </w:p>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目标2：完成全市383个村街，每村每月放映1场农村公益电影工作，营造良好社会氛围。</w:t>
            </w:r>
          </w:p>
        </w:tc>
      </w:tr>
    </w:tbl>
    <w:p>
      <w:pPr>
        <w:spacing w:line="14" w:lineRule="exact"/>
        <w:ind w:firstLine="420" w:firstLineChars="200"/>
        <w:jc w:val="center"/>
        <w:rPr>
          <w:rFonts w:ascii="Times New Roman" w:hAnsi="宋体" w:eastAsia="宋体" w:cs="Times New Roman"/>
          <w:color w:val="auto"/>
          <w:highlight w:val="none"/>
        </w:rPr>
      </w:pPr>
      <w:r>
        <w:rPr>
          <w:rFonts w:hint="eastAsia" w:ascii="方正书宋_GBK" w:eastAsia="方正书宋_GBK"/>
          <w:color w:val="auto"/>
          <w:highlight w:val="none"/>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村街图书更换数量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完成383个村街的图书更换配置工作</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≥383个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农村电影放映数量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全市383个村街，每村每月放映1场，全年放映12场。</w:t>
            </w:r>
          </w:p>
          <w:p>
            <w:pPr>
              <w:spacing w:line="300" w:lineRule="exact"/>
              <w:jc w:val="left"/>
              <w:rPr>
                <w:rFonts w:ascii="方正书宋_GBK" w:eastAsia="方正书宋_GBK" w:hAnsiTheme="minorHAnsi" w:cstheme="minorBidi"/>
                <w:color w:val="auto"/>
                <w:kern w:val="2"/>
                <w:sz w:val="21"/>
                <w:szCs w:val="22"/>
                <w:highlight w:val="none"/>
                <w:lang w:val="en-US" w:eastAsia="zh-CN" w:bidi="ar-SA"/>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≥4596场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图书质量合格率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购买图书质量通过验收合格率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放映质量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农村公益电影放映质量达标率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成本控制率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农村电影放映每场补助200元</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200元/场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成本控制率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农家书屋图书采购资金每村2000元标准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≤2000元/村</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农村文化水平提升情况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通过电影放映和图书配置提升了农村整体文化水平，保障了基层农村群众的基本文化权益。</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群众对当年农村公益电影放映及所配置图书的整体满意度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rPr>
          <w:rFonts w:ascii="仿宋_GB2312" w:hAnsi="黑体" w:eastAsia="仿宋_GB2312" w:cs="Times New Roman"/>
          <w:color w:val="auto"/>
          <w:sz w:val="32"/>
          <w:szCs w:val="32"/>
          <w:highlight w:val="none"/>
        </w:rPr>
      </w:pPr>
      <w:r>
        <w:rPr>
          <w:rFonts w:hint="eastAsia" w:ascii="方正仿宋_GBK" w:eastAsia="方正仿宋_GBK"/>
          <w:b/>
          <w:color w:val="auto"/>
          <w:sz w:val="28"/>
          <w:highlight w:val="none"/>
        </w:rPr>
        <w:t>3、公益广告制作经费绩效目标表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1：我市218个村街设置党的十九大精神、讲文明树新风、社会主义核心价值观、创建文明城市等内容的公益广告，改善提升农村生产生全市218个村街设置公益广告。</w:t>
            </w:r>
          </w:p>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目标2：组织宣传活动20次。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组织宣传活动次数（次）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组织宣传活动次数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公益广告覆盖村街数量（个）</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全市218个村街公益广告覆盖数量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218个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广告制作验收合格率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广告制作验收合格率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公共服务水平提升情况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提升了良好的公益生活秩和基本的公共道德准则</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调查中对公益广告设置及内容满意和较满意的人数占调查总人数的比率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rPr>
          <w:rFonts w:hint="eastAsia" w:ascii="方正仿宋_GBK" w:eastAsia="方正仿宋_GBK"/>
          <w:b/>
          <w:color w:val="auto"/>
          <w:sz w:val="28"/>
          <w:szCs w:val="28"/>
          <w:highlight w:val="none"/>
          <w:lang w:val="en-US" w:eastAsia="zh-CN"/>
        </w:rPr>
      </w:pPr>
      <w:r>
        <w:rPr>
          <w:rFonts w:hint="eastAsia" w:ascii="方正仿宋_GBK" w:eastAsia="方正仿宋_GBK"/>
          <w:b/>
          <w:color w:val="auto"/>
          <w:sz w:val="28"/>
          <w:highlight w:val="none"/>
          <w:lang w:val="en-US" w:eastAsia="zh-CN"/>
        </w:rPr>
        <w:t>4、</w:t>
      </w:r>
      <w:r>
        <w:rPr>
          <w:rFonts w:hint="eastAsia" w:ascii="方正仿宋_GBK" w:eastAsia="方正仿宋_GBK"/>
          <w:b/>
          <w:color w:val="auto"/>
          <w:sz w:val="28"/>
          <w:szCs w:val="28"/>
          <w:highlight w:val="none"/>
        </w:rPr>
        <w:t>关于提前下达2020年省级公共文化服务体系建设补助资金（第二批）的通知(冀财教[2019]143号)绩效目标表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1：通过对66名老放映员进行生活补助，积极改善民生，坚持“尊重历史，保障民生，明确责任，确保落实”的基本原则，妥善解决老放映员的保障和生活困难问题。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补助老放映员数量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按月发放66人老放映员生活补助。</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66人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符合条件申报对象覆盖率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享受扶助政策人数占符合条件申报对象总数的比例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补助金发放率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实际发放的补助金金额占计划发放金额的比率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每人每年补贴金额</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老电影放映员每人每年补贴金额</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20元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补助人群生活改善情况</w:t>
            </w:r>
          </w:p>
          <w:p>
            <w:pPr>
              <w:spacing w:line="300" w:lineRule="exact"/>
              <w:jc w:val="left"/>
              <w:rPr>
                <w:rFonts w:ascii="方正书宋_GBK" w:eastAsia="方正书宋_GBK"/>
                <w:color w:val="auto"/>
                <w:highlight w:val="none"/>
              </w:rPr>
            </w:pPr>
          </w:p>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补助人群在生活、医疗、护理、教育等方面的改善情况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改善民生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解决老放映员的保障和生活困难问题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老放映员满意度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满意和较满意的受益对象占全部调研对象的比例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Ansi="宋体"/>
          <w:b/>
          <w:color w:val="auto"/>
          <w:sz w:val="28"/>
          <w:highlight w:val="none"/>
        </w:rPr>
      </w:pPr>
      <w:r>
        <w:rPr>
          <w:rFonts w:hint="eastAsia" w:ascii="方正仿宋_GBK" w:eastAsia="方正仿宋_GBK"/>
          <w:b/>
          <w:color w:val="auto"/>
          <w:sz w:val="28"/>
          <w:highlight w:val="none"/>
          <w:lang w:val="en-US" w:eastAsia="zh-CN"/>
        </w:rPr>
        <w:t>5、</w:t>
      </w:r>
      <w:r>
        <w:rPr>
          <w:rFonts w:hint="eastAsia" w:ascii="方正仿宋_GBK" w:eastAsia="方正仿宋_GBK"/>
          <w:b/>
          <w:color w:val="auto"/>
          <w:sz w:val="28"/>
          <w:highlight w:val="none"/>
        </w:rPr>
        <w:t>关于提前下达2020年省级公共文化服务体系建设补助资金（第二批）的通知(冀财教[2019]143号)(农村文化建设项目)绩效目标表</w:t>
      </w:r>
      <w:r>
        <w:rPr>
          <w:color w:val="auto"/>
          <w:highlight w:val="none"/>
        </w:rPr>
        <w:fldChar w:fldCharType="begin"/>
      </w:r>
      <w:r>
        <w:rPr>
          <w:rFonts w:ascii="方正仿宋_GBK" w:eastAsia="方正仿宋_GBK"/>
          <w:b/>
          <w:color w:val="auto"/>
          <w:sz w:val="28"/>
          <w:highlight w:val="none"/>
        </w:rPr>
        <w:instrText xml:space="preserve"> </w:instrText>
      </w:r>
      <w:r>
        <w:rPr>
          <w:rFonts w:hint="eastAsia" w:ascii="方正仿宋_GBK" w:eastAsia="方正仿宋_GBK"/>
          <w:b/>
          <w:color w:val="auto"/>
          <w:sz w:val="28"/>
          <w:highlight w:val="none"/>
        </w:rPr>
        <w:instrText xml:space="preserve">TC </w:instrText>
      </w:r>
      <w:bookmarkStart w:id="3" w:name="_Toc30348300"/>
      <w:r>
        <w:rPr>
          <w:rFonts w:hint="eastAsia" w:ascii="方正仿宋_GBK" w:eastAsia="方正仿宋_GBK"/>
          <w:b/>
          <w:color w:val="auto"/>
          <w:sz w:val="28"/>
          <w:highlight w:val="none"/>
        </w:rPr>
        <w:instrText xml:space="preserve">5、关于提前下达2020年省级公共文化服务体系建设补助资金（第二批）的通知(冀财教[2019]143号)(农村文化建设项目)绩效目标表</w:instrText>
      </w:r>
      <w:bookmarkEnd w:id="3"/>
      <w:r>
        <w:rPr>
          <w:rFonts w:hint="eastAsia" w:ascii="方正仿宋_GBK" w:eastAsia="方正仿宋_GBK"/>
          <w:b/>
          <w:color w:val="auto"/>
          <w:sz w:val="28"/>
          <w:highlight w:val="none"/>
        </w:rPr>
        <w:instrText xml:space="preserve"> \f C \l 1</w:instrText>
      </w:r>
      <w:r>
        <w:rPr>
          <w:rFonts w:ascii="方正仿宋_GBK" w:eastAsia="方正仿宋_GBK"/>
          <w:b/>
          <w:color w:val="auto"/>
          <w:sz w:val="28"/>
          <w:highlight w:val="none"/>
        </w:rPr>
        <w:instrText xml:space="preserve"> </w:instrText>
      </w:r>
      <w:r>
        <w:rPr>
          <w:rFonts w:ascii="方正仿宋_GBK" w:eastAsia="方正仿宋_GBK"/>
          <w:b/>
          <w:color w:val="auto"/>
          <w:sz w:val="28"/>
          <w:highlight w:val="none"/>
        </w:rPr>
        <w:fldChar w:fldCharType="end"/>
      </w:r>
    </w:p>
    <w:p>
      <w:pPr>
        <w:ind w:firstLine="640" w:firstLineChars="200"/>
        <w:rPr>
          <w:rFonts w:hint="default" w:ascii="仿宋_GB2312" w:hAnsi="黑体" w:eastAsia="仿宋_GB2312" w:cs="Times New Roman"/>
          <w:color w:val="auto"/>
          <w:sz w:val="32"/>
          <w:szCs w:val="32"/>
          <w:highlight w:val="none"/>
          <w:lang w:val="en-US" w:eastAsia="zh-CN"/>
        </w:rPr>
      </w:pP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rPr>
            </w:pPr>
            <w:r>
              <w:rPr>
                <w:rFonts w:hint="eastAsia"/>
                <w:lang w:eastAsia="zh-CN"/>
              </w:rPr>
              <w:t>目标</w:t>
            </w:r>
            <w:r>
              <w:rPr>
                <w:rFonts w:hint="eastAsia"/>
                <w:lang w:val="en-US" w:eastAsia="zh-CN"/>
              </w:rPr>
              <w:t>1：</w:t>
            </w:r>
            <w:r>
              <w:rPr>
                <w:rFonts w:hint="eastAsia"/>
              </w:rPr>
              <w:t>完成全市383个村街，每村每月放映1场农村公益电影工作，营造良好社会氛围。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农村电影放映数量</w:t>
            </w:r>
          </w:p>
          <w:p>
            <w:pPr>
              <w:spacing w:line="300" w:lineRule="exact"/>
              <w:jc w:val="left"/>
              <w:rPr>
                <w:rFonts w:ascii="方正书宋_GBK" w:eastAsia="方正书宋_GBK"/>
                <w:color w:val="auto"/>
                <w:highlight w:val="none"/>
              </w:rPr>
            </w:pP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全市383个村街，每村每月放映1场，全年放映12场。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≥4596场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放映质量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农村公益电影放映质量达标率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每场费用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公益电影每场费用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200元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农村文化水平提升情况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通过电影放映提升了农村整体文化水平，保障了基层农村群众的基本文化权益。</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群众对当年农村公益电影放映的整体满意度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Ansi="宋体"/>
          <w:b/>
          <w:color w:val="auto"/>
          <w:sz w:val="28"/>
          <w:highlight w:val="none"/>
        </w:rPr>
      </w:pPr>
      <w:bookmarkStart w:id="9" w:name="_GoBack"/>
      <w:r>
        <w:rPr>
          <w:rFonts w:hint="eastAsia" w:ascii="方正仿宋_GBK" w:eastAsia="方正仿宋_GBK"/>
          <w:b/>
          <w:color w:val="auto"/>
          <w:sz w:val="28"/>
          <w:highlight w:val="none"/>
          <w:lang w:val="en-US" w:eastAsia="zh-CN"/>
        </w:rPr>
        <w:t>6、</w:t>
      </w:r>
      <w:bookmarkEnd w:id="9"/>
      <w:r>
        <w:rPr>
          <w:rFonts w:hint="eastAsia" w:ascii="方正仿宋_GBK" w:eastAsia="方正仿宋_GBK"/>
          <w:b/>
          <w:color w:val="auto"/>
          <w:sz w:val="28"/>
          <w:highlight w:val="none"/>
        </w:rPr>
        <w:t>关于提前下达2020年省级国家电影事业发展专项资金的通知(冀财教[2019]113号)绩效目标表</w:t>
      </w:r>
      <w:r>
        <w:rPr>
          <w:color w:val="auto"/>
          <w:highlight w:val="none"/>
        </w:rPr>
        <w:fldChar w:fldCharType="begin"/>
      </w:r>
      <w:r>
        <w:rPr>
          <w:rFonts w:ascii="方正仿宋_GBK" w:eastAsia="方正仿宋_GBK"/>
          <w:b/>
          <w:color w:val="auto"/>
          <w:sz w:val="28"/>
          <w:highlight w:val="none"/>
        </w:rPr>
        <w:instrText xml:space="preserve"> </w:instrText>
      </w:r>
      <w:r>
        <w:rPr>
          <w:rFonts w:hint="eastAsia" w:ascii="方正仿宋_GBK" w:eastAsia="方正仿宋_GBK"/>
          <w:b/>
          <w:color w:val="auto"/>
          <w:sz w:val="28"/>
          <w:highlight w:val="none"/>
        </w:rPr>
        <w:instrText xml:space="preserve">TC </w:instrText>
      </w:r>
      <w:bookmarkStart w:id="4" w:name="_Toc30348301"/>
      <w:r>
        <w:rPr>
          <w:rFonts w:hint="eastAsia" w:ascii="方正仿宋_GBK" w:eastAsia="方正仿宋_GBK"/>
          <w:b/>
          <w:color w:val="auto"/>
          <w:sz w:val="28"/>
          <w:highlight w:val="none"/>
        </w:rPr>
        <w:instrText xml:space="preserve">6、关于提前下达2020年省级国家电影事业发展专项资金的通知(冀财教[2019]113号)绩效目标表</w:instrText>
      </w:r>
      <w:bookmarkEnd w:id="4"/>
      <w:r>
        <w:rPr>
          <w:rFonts w:hint="eastAsia" w:ascii="方正仿宋_GBK" w:eastAsia="方正仿宋_GBK"/>
          <w:b/>
          <w:color w:val="auto"/>
          <w:sz w:val="28"/>
          <w:highlight w:val="none"/>
        </w:rPr>
        <w:instrText xml:space="preserve"> \f C \l 1</w:instrText>
      </w:r>
      <w:r>
        <w:rPr>
          <w:rFonts w:ascii="方正仿宋_GBK" w:eastAsia="方正仿宋_GBK"/>
          <w:b/>
          <w:color w:val="auto"/>
          <w:sz w:val="28"/>
          <w:highlight w:val="none"/>
        </w:rPr>
        <w:instrText xml:space="preserve"> </w:instrText>
      </w:r>
      <w:r>
        <w:rPr>
          <w:rFonts w:ascii="方正仿宋_GBK" w:eastAsia="方正仿宋_GBK"/>
          <w:b/>
          <w:color w:val="auto"/>
          <w:sz w:val="28"/>
          <w:highlight w:val="none"/>
        </w:rPr>
        <w:fldChar w:fldCharType="end"/>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val="en-US" w:eastAsia="zh-CN"/>
              </w:rPr>
              <w:t>目标1：资助人民院线影厅放映，促进电影事业发展。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资助人民院线影厅放映影院数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资助人民院线影厅放映影院数</w:t>
            </w:r>
          </w:p>
          <w:p>
            <w:pPr>
              <w:spacing w:line="300" w:lineRule="exact"/>
              <w:jc w:val="left"/>
              <w:rPr>
                <w:rFonts w:ascii="方正书宋_GBK" w:eastAsia="方正书宋_GBK"/>
                <w:color w:val="auto"/>
                <w:highlight w:val="none"/>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资金拨付及时率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资金下达60日内拨付影院</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≤60日</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符合条件申报对象覆盖率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享受扶助政策人数占符合条件申报对象总数的比例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促进电影事业发展</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促进电影事业发展</w:t>
            </w:r>
          </w:p>
          <w:p>
            <w:pPr>
              <w:spacing w:line="300" w:lineRule="exact"/>
              <w:jc w:val="left"/>
              <w:rPr>
                <w:rFonts w:ascii="方正书宋_GBK" w:eastAsia="方正书宋_GBK" w:hAnsiTheme="minorHAnsi" w:cstheme="minorBidi"/>
                <w:color w:val="auto"/>
                <w:kern w:val="2"/>
                <w:sz w:val="21"/>
                <w:szCs w:val="22"/>
                <w:highlight w:val="none"/>
                <w:lang w:val="en-US" w:eastAsia="zh-CN" w:bidi="ar-SA"/>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促进</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受补贴企业满意度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受补贴企业对当年农村公益电影放映的整体满意度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Ansi="宋体"/>
          <w:b/>
          <w:color w:val="auto"/>
          <w:sz w:val="28"/>
          <w:highlight w:val="none"/>
        </w:rPr>
      </w:pPr>
      <w:r>
        <w:rPr>
          <w:rFonts w:hint="eastAsia" w:ascii="方正仿宋_GBK" w:eastAsia="方正仿宋_GBK"/>
          <w:b/>
          <w:color w:val="auto"/>
          <w:sz w:val="28"/>
          <w:highlight w:val="none"/>
          <w:lang w:val="en-US" w:eastAsia="zh-CN"/>
        </w:rPr>
        <w:t>7、</w:t>
      </w:r>
      <w:r>
        <w:rPr>
          <w:rFonts w:hint="eastAsia" w:ascii="方正仿宋_GBK" w:eastAsia="方正仿宋_GBK"/>
          <w:b/>
          <w:color w:val="auto"/>
          <w:sz w:val="28"/>
          <w:highlight w:val="none"/>
        </w:rPr>
        <w:t>关于提前下达2020年中央补助地方公共文化服务体系建设专项资金预算的通知(冀财教[2019]134号)（农村文化建设项目）绩效目标表</w:t>
      </w:r>
      <w:r>
        <w:rPr>
          <w:color w:val="auto"/>
          <w:highlight w:val="none"/>
        </w:rPr>
        <w:fldChar w:fldCharType="begin"/>
      </w:r>
      <w:r>
        <w:rPr>
          <w:rFonts w:ascii="方正仿宋_GBK" w:eastAsia="方正仿宋_GBK"/>
          <w:b/>
          <w:color w:val="auto"/>
          <w:sz w:val="28"/>
          <w:highlight w:val="none"/>
        </w:rPr>
        <w:instrText xml:space="preserve"> </w:instrText>
      </w:r>
      <w:r>
        <w:rPr>
          <w:rFonts w:hint="eastAsia" w:ascii="方正仿宋_GBK" w:eastAsia="方正仿宋_GBK"/>
          <w:b/>
          <w:color w:val="auto"/>
          <w:sz w:val="28"/>
          <w:highlight w:val="none"/>
        </w:rPr>
        <w:instrText xml:space="preserve">TC </w:instrText>
      </w:r>
      <w:bookmarkStart w:id="5" w:name="_Toc30348302"/>
      <w:r>
        <w:rPr>
          <w:rFonts w:hint="eastAsia" w:ascii="方正仿宋_GBK" w:eastAsia="方正仿宋_GBK"/>
          <w:b/>
          <w:color w:val="auto"/>
          <w:sz w:val="28"/>
          <w:highlight w:val="none"/>
        </w:rPr>
        <w:instrText xml:space="preserve">7、关于提前下达2020年中央补助地方公共文化服务体系建设专项资金预算的通知(冀财教[2019]134号)（农村文化建设项目）绩效目标表</w:instrText>
      </w:r>
      <w:bookmarkEnd w:id="5"/>
      <w:r>
        <w:rPr>
          <w:rFonts w:hint="eastAsia" w:ascii="方正仿宋_GBK" w:eastAsia="方正仿宋_GBK"/>
          <w:b/>
          <w:color w:val="auto"/>
          <w:sz w:val="28"/>
          <w:highlight w:val="none"/>
        </w:rPr>
        <w:instrText xml:space="preserve"> \f C \l 1</w:instrText>
      </w:r>
      <w:r>
        <w:rPr>
          <w:rFonts w:ascii="方正仿宋_GBK" w:eastAsia="方正仿宋_GBK"/>
          <w:b/>
          <w:color w:val="auto"/>
          <w:sz w:val="28"/>
          <w:highlight w:val="none"/>
        </w:rPr>
        <w:instrText xml:space="preserve"> </w:instrText>
      </w:r>
      <w:r>
        <w:rPr>
          <w:rFonts w:ascii="方正仿宋_GBK" w:eastAsia="方正仿宋_GBK"/>
          <w:b/>
          <w:color w:val="auto"/>
          <w:sz w:val="28"/>
          <w:highlight w:val="none"/>
        </w:rPr>
        <w:fldChar w:fldCharType="end"/>
      </w:r>
    </w:p>
    <w:p>
      <w:pPr>
        <w:ind w:firstLine="640" w:firstLineChars="200"/>
        <w:rPr>
          <w:rFonts w:hint="default" w:ascii="仿宋_GB2312" w:hAnsi="黑体" w:eastAsia="仿宋_GB2312" w:cs="Times New Roman"/>
          <w:color w:val="auto"/>
          <w:sz w:val="32"/>
          <w:szCs w:val="32"/>
          <w:highlight w:val="none"/>
          <w:lang w:val="en-US" w:eastAsia="zh-CN"/>
        </w:rPr>
      </w:pP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eastAsia="zh-CN"/>
              </w:rPr>
            </w:pPr>
            <w:r>
              <w:rPr>
                <w:rFonts w:hint="eastAsia" w:ascii="方正书宋_GBK" w:eastAsia="方正书宋_GBK"/>
                <w:color w:val="auto"/>
                <w:highlight w:val="none"/>
                <w:lang w:eastAsia="zh-CN"/>
              </w:rPr>
              <w:t>目标：完成383个村街的图书更换配置工作，补充更新农家书屋出版物。</w:t>
            </w:r>
          </w:p>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2：完成全市383个村街，每村每月放映农村公益电影工作，营造良好社会氛围。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村街图书更换数量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完成383个村街的图书更换配置工作</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383个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农村电影放映数量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全市383个村街，每村每月放映1场，全年放映12场。</w:t>
            </w:r>
          </w:p>
          <w:p>
            <w:pPr>
              <w:spacing w:line="300" w:lineRule="exact"/>
              <w:jc w:val="left"/>
              <w:rPr>
                <w:rFonts w:hint="eastAsia" w:ascii="方正书宋_GBK" w:eastAsia="方正书宋_GBK"/>
                <w:color w:val="auto"/>
                <w:highlight w:val="none"/>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≥4596场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图书质量合格率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购买图书质量通过验收合格率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放映质量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农村公益电影放映质量达标率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成本控制率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农村电影放映每场补助200元</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≤200元/场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成本控制率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农家书屋图书采购资金每村2000元标准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≤2000元/村</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农村文化水平提升情况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通过电影放映和图书配置提升了农村整体文化水平，保障了基层农村群众的基本文化权益。</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群众对当年农村公益电影放映及所配置图书的整体满意度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Ansi="宋体"/>
          <w:b/>
          <w:color w:val="auto"/>
          <w:sz w:val="28"/>
          <w:highlight w:val="none"/>
        </w:rPr>
      </w:pPr>
      <w:r>
        <w:rPr>
          <w:rFonts w:hint="eastAsia" w:ascii="方正仿宋_GBK" w:eastAsia="方正仿宋_GBK"/>
          <w:b/>
          <w:color w:val="auto"/>
          <w:sz w:val="28"/>
          <w:highlight w:val="none"/>
          <w:lang w:val="en-US" w:eastAsia="zh-CN"/>
        </w:rPr>
        <w:t>8、</w:t>
      </w:r>
      <w:r>
        <w:rPr>
          <w:rFonts w:hint="eastAsia" w:ascii="方正仿宋_GBK" w:eastAsia="方正仿宋_GBK"/>
          <w:b/>
          <w:color w:val="auto"/>
          <w:sz w:val="28"/>
          <w:highlight w:val="none"/>
        </w:rPr>
        <w:t>关于提前下达2020年中央补助地方国家电影事业发展专项资金预算的通知(冀财教[2019]99号)绩效目标表</w:t>
      </w:r>
      <w:r>
        <w:rPr>
          <w:color w:val="auto"/>
          <w:highlight w:val="none"/>
        </w:rPr>
        <w:fldChar w:fldCharType="begin"/>
      </w:r>
      <w:r>
        <w:rPr>
          <w:rFonts w:ascii="方正仿宋_GBK" w:eastAsia="方正仿宋_GBK"/>
          <w:b/>
          <w:color w:val="auto"/>
          <w:sz w:val="28"/>
          <w:highlight w:val="none"/>
        </w:rPr>
        <w:instrText xml:space="preserve"> </w:instrText>
      </w:r>
      <w:r>
        <w:rPr>
          <w:rFonts w:hint="eastAsia" w:ascii="方正仿宋_GBK" w:eastAsia="方正仿宋_GBK"/>
          <w:b/>
          <w:color w:val="auto"/>
          <w:sz w:val="28"/>
          <w:highlight w:val="none"/>
        </w:rPr>
        <w:instrText xml:space="preserve">TC </w:instrText>
      </w:r>
      <w:bookmarkStart w:id="6" w:name="_Toc30348303"/>
      <w:r>
        <w:rPr>
          <w:rFonts w:hint="eastAsia" w:ascii="方正仿宋_GBK" w:eastAsia="方正仿宋_GBK"/>
          <w:b/>
          <w:color w:val="auto"/>
          <w:sz w:val="28"/>
          <w:highlight w:val="none"/>
        </w:rPr>
        <w:instrText xml:space="preserve">8、关于提前下达2020年中央补助地方国家电影事业发展专项资金预算的通知(冀财教[2019]99号)绩效目标表</w:instrText>
      </w:r>
      <w:bookmarkEnd w:id="6"/>
      <w:r>
        <w:rPr>
          <w:rFonts w:hint="eastAsia" w:ascii="方正仿宋_GBK" w:eastAsia="方正仿宋_GBK"/>
          <w:b/>
          <w:color w:val="auto"/>
          <w:sz w:val="28"/>
          <w:highlight w:val="none"/>
        </w:rPr>
        <w:instrText xml:space="preserve"> \f C \l 1</w:instrText>
      </w:r>
      <w:r>
        <w:rPr>
          <w:rFonts w:ascii="方正仿宋_GBK" w:eastAsia="方正仿宋_GBK"/>
          <w:b/>
          <w:color w:val="auto"/>
          <w:sz w:val="28"/>
          <w:highlight w:val="none"/>
        </w:rPr>
        <w:instrText xml:space="preserve"> </w:instrText>
      </w:r>
      <w:r>
        <w:rPr>
          <w:rFonts w:ascii="方正仿宋_GBK" w:eastAsia="方正仿宋_GBK"/>
          <w:b/>
          <w:color w:val="auto"/>
          <w:sz w:val="28"/>
          <w:highlight w:val="none"/>
        </w:rPr>
        <w:fldChar w:fldCharType="end"/>
      </w:r>
    </w:p>
    <w:p>
      <w:pPr>
        <w:ind w:firstLine="640" w:firstLineChars="200"/>
        <w:rPr>
          <w:rFonts w:hint="default" w:ascii="仿宋_GB2312" w:hAnsi="黑体" w:eastAsia="仿宋_GB2312" w:cs="Times New Roman"/>
          <w:color w:val="auto"/>
          <w:sz w:val="32"/>
          <w:szCs w:val="32"/>
          <w:highlight w:val="none"/>
          <w:lang w:val="en-US" w:eastAsia="zh-CN"/>
        </w:rPr>
      </w:pP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1：鼓励引导影院放映文化特色、艺术创新影片，促进国产影片票房增长，推动我市电影产业持续健康发展。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资助影院数量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补助资金发放影院数量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7家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补助资金发放时间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补助资金发放时间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≤6月份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补贴发放率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补贴发放率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提升国产影片播放率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提升国产影片播放情况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受补贴企业满意度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受补贴企业满意及比较满意占总受补贴企业满意的比率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int="default" w:ascii="仿宋_GB2312" w:hAnsi="黑体" w:eastAsia="仿宋_GB2312" w:cs="Times New Roman"/>
          <w:color w:val="auto"/>
          <w:sz w:val="32"/>
          <w:szCs w:val="32"/>
          <w:highlight w:val="none"/>
          <w:lang w:val="en-US" w:eastAsia="zh-CN"/>
        </w:rPr>
      </w:pPr>
      <w:r>
        <w:rPr>
          <w:rFonts w:hint="eastAsia" w:ascii="方正仿宋_GBK" w:eastAsia="方正仿宋_GBK"/>
          <w:b/>
          <w:color w:val="auto"/>
          <w:sz w:val="28"/>
          <w:highlight w:val="none"/>
          <w:lang w:val="en-US" w:eastAsia="zh-CN"/>
        </w:rPr>
        <w:t>9、</w:t>
      </w:r>
      <w:r>
        <w:rPr>
          <w:rFonts w:hint="eastAsia" w:ascii="方正仿宋_GBK" w:eastAsia="方正仿宋_GBK"/>
          <w:b/>
          <w:color w:val="auto"/>
          <w:sz w:val="28"/>
          <w:highlight w:val="none"/>
        </w:rPr>
        <w:t>关于提前下达2020年中央专项彩票公益金支持乡村学校少年宫项目资金的通知(冀财教[2019]139号)绩效目标表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tabs>
                <w:tab w:val="left" w:pos="2946"/>
              </w:tabs>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color w:val="auto"/>
                <w:highlight w:val="none"/>
              </w:rPr>
              <w:t>对目前已建成的6所乡村学校少年宫组织开展活动进行补助，进一步健全完善农村未成年人校外活动阵地，丰富农村未成年人精神文化生活。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补助单位数量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补助乡村学校少年宫修缮运转的学校数量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6家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已补助少年宫数量占应补助少年宫数量的比率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为农村未成年人提供公益性服务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为农村未成年人提供公益性服务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不收取费用</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学生满意度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受益学生满意和较满意数量占学生总数的比例。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numPr>
          <w:ilvl w:val="0"/>
          <w:numId w:val="1"/>
        </w:numPr>
        <w:ind w:firstLine="560" w:firstLineChars="200"/>
        <w:jc w:val="left"/>
        <w:outlineLvl w:val="1"/>
        <w:rPr>
          <w:rFonts w:hint="eastAsia" w:ascii="方正仿宋_GBK" w:eastAsia="方正仿宋_GBK"/>
          <w:b/>
          <w:color w:val="auto"/>
          <w:sz w:val="28"/>
          <w:highlight w:val="none"/>
        </w:rPr>
      </w:pPr>
      <w:r>
        <w:rPr>
          <w:rFonts w:hint="eastAsia" w:ascii="方正仿宋_GBK" w:eastAsia="方正仿宋_GBK"/>
          <w:b/>
          <w:color w:val="auto"/>
          <w:sz w:val="28"/>
          <w:highlight w:val="none"/>
        </w:rPr>
        <w:t>融媒体中心建设项目经费绩效目标表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371"/>
        <w:gridCol w:w="1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1：完成购置软硬件设备274台，完善了编采设备，提升了机关整体服务水平。</w:t>
            </w:r>
          </w:p>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val="en-US" w:eastAsia="zh-CN"/>
              </w:rPr>
              <w:t>目标2：对办公场所进行了改造，初步建成主流舆论阵地、综合服务平台和信息枢纽，充分利用互联网，建设综合服务信息平台。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3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6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购置设备数量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新增购置的LED显示屏、办公电脑、非线编处理器等设备数量（详见采购清单）</w:t>
            </w:r>
          </w:p>
        </w:tc>
        <w:tc>
          <w:tcPr>
            <w:tcW w:w="13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sz w:val="21"/>
                <w:szCs w:val="21"/>
                <w:highlight w:val="none"/>
              </w:rPr>
            </w:pPr>
            <w:r>
              <w:rPr>
                <w:rFonts w:hint="eastAsia" w:ascii="方正书宋_GBK" w:eastAsia="方正书宋_GBK"/>
                <w:color w:val="auto"/>
                <w:sz w:val="21"/>
                <w:szCs w:val="21"/>
                <w:highlight w:val="none"/>
              </w:rPr>
              <w:t>&gt;=274台（件/辆/套）</w:t>
            </w:r>
          </w:p>
        </w:tc>
        <w:tc>
          <w:tcPr>
            <w:tcW w:w="16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《霸州融媒体软硬件设备采购清单》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建成融媒体中心数量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在我市初步建成融媒体中心数量</w:t>
            </w:r>
          </w:p>
        </w:tc>
        <w:tc>
          <w:tcPr>
            <w:tcW w:w="1371" w:type="dxa"/>
            <w:tcBorders>
              <w:top w:val="single" w:color="000000" w:sz="6" w:space="0"/>
              <w:left w:val="single" w:color="000000" w:sz="6" w:space="0"/>
              <w:bottom w:val="single" w:color="000000" w:sz="6" w:space="0"/>
              <w:right w:val="single" w:color="000000" w:sz="6" w:space="0"/>
            </w:tcBorders>
            <w:vAlign w:val="center"/>
          </w:tcPr>
          <w:p>
            <w:pPr>
              <w:spacing w:line="300" w:lineRule="exact"/>
              <w:ind w:firstLine="338" w:firstLineChars="0"/>
              <w:jc w:val="left"/>
              <w:rPr>
                <w:rFonts w:hint="eastAsia" w:ascii="方正书宋_GBK" w:eastAsia="方正书宋_GBK"/>
                <w:color w:val="auto"/>
                <w:sz w:val="21"/>
                <w:szCs w:val="21"/>
                <w:highlight w:val="none"/>
                <w:lang w:eastAsia="zh-CN"/>
              </w:rPr>
            </w:pPr>
            <w:r>
              <w:rPr>
                <w:rFonts w:hint="eastAsia" w:ascii="方正书宋_GBK" w:eastAsia="方正书宋_GBK"/>
                <w:color w:val="auto"/>
                <w:sz w:val="21"/>
                <w:szCs w:val="21"/>
                <w:highlight w:val="none"/>
              </w:rPr>
              <w:t>=1</w:t>
            </w:r>
            <w:r>
              <w:rPr>
                <w:rFonts w:hint="eastAsia" w:ascii="方正书宋_GBK" w:eastAsia="方正书宋_GBK"/>
                <w:color w:val="auto"/>
                <w:sz w:val="21"/>
                <w:szCs w:val="21"/>
                <w:highlight w:val="none"/>
                <w:lang w:eastAsia="zh-CN"/>
              </w:rPr>
              <w:t>个</w:t>
            </w:r>
          </w:p>
        </w:tc>
        <w:tc>
          <w:tcPr>
            <w:tcW w:w="16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工程质量验收合格率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工程验收合格情况</w:t>
            </w:r>
          </w:p>
        </w:tc>
        <w:tc>
          <w:tcPr>
            <w:tcW w:w="13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hAnsiTheme="minorHAnsi" w:cstheme="minorBidi"/>
                <w:color w:val="auto"/>
                <w:kern w:val="2"/>
                <w:sz w:val="21"/>
                <w:szCs w:val="21"/>
                <w:highlight w:val="none"/>
                <w:lang w:val="en-US" w:eastAsia="zh-CN" w:bidi="ar-SA"/>
              </w:rPr>
            </w:pPr>
            <w:r>
              <w:rPr>
                <w:rFonts w:hint="eastAsia" w:ascii="方正书宋_GBK" w:eastAsia="方正书宋_GBK"/>
                <w:color w:val="auto"/>
                <w:sz w:val="21"/>
                <w:szCs w:val="21"/>
                <w:highlight w:val="none"/>
              </w:rPr>
              <w:t>&gt;=</w:t>
            </w:r>
            <w:r>
              <w:rPr>
                <w:rFonts w:hint="eastAsia" w:ascii="方正书宋_GBK" w:eastAsia="方正书宋_GBK"/>
                <w:color w:val="auto"/>
                <w:sz w:val="21"/>
                <w:szCs w:val="21"/>
                <w:highlight w:val="none"/>
                <w:lang w:val="en-US" w:eastAsia="zh-CN"/>
              </w:rPr>
              <w:t>95%</w:t>
            </w:r>
          </w:p>
        </w:tc>
        <w:tc>
          <w:tcPr>
            <w:tcW w:w="16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已支持的新媒体、全媒体项目的传播力、引导力、公信力增强效果</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反映新媒体、全媒体项目在宣传党和政府声音、传播正能量方面的报道情况</w:t>
            </w:r>
          </w:p>
        </w:tc>
        <w:tc>
          <w:tcPr>
            <w:tcW w:w="13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1"/>
                <w:highlight w:val="none"/>
                <w:lang w:val="en-US" w:eastAsia="zh-CN" w:bidi="ar-SA"/>
              </w:rPr>
            </w:pPr>
            <w:r>
              <w:rPr>
                <w:rFonts w:hint="eastAsia" w:ascii="方正书宋_GBK" w:eastAsia="方正书宋_GBK"/>
                <w:color w:val="auto"/>
                <w:sz w:val="21"/>
                <w:szCs w:val="21"/>
                <w:highlight w:val="none"/>
                <w:lang w:eastAsia="zh-CN"/>
              </w:rPr>
              <w:t>提升</w:t>
            </w:r>
          </w:p>
        </w:tc>
        <w:tc>
          <w:tcPr>
            <w:tcW w:w="16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使用人员满意度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使用人员中满意人数占总使用人数的比率</w:t>
            </w:r>
          </w:p>
        </w:tc>
        <w:tc>
          <w:tcPr>
            <w:tcW w:w="137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1"/>
                <w:highlight w:val="none"/>
                <w:lang w:val="en-US" w:eastAsia="zh-CN" w:bidi="ar-SA"/>
              </w:rPr>
            </w:pPr>
            <w:r>
              <w:rPr>
                <w:rFonts w:hint="eastAsia" w:ascii="方正书宋_GBK" w:eastAsia="方正书宋_GBK"/>
                <w:color w:val="auto"/>
                <w:sz w:val="21"/>
                <w:szCs w:val="21"/>
                <w:highlight w:val="none"/>
              </w:rPr>
              <w:t>≥80%</w:t>
            </w:r>
          </w:p>
        </w:tc>
        <w:tc>
          <w:tcPr>
            <w:tcW w:w="16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numPr>
          <w:ilvl w:val="0"/>
          <w:numId w:val="1"/>
        </w:numPr>
        <w:ind w:firstLine="560" w:firstLineChars="200"/>
        <w:jc w:val="left"/>
        <w:outlineLvl w:val="1"/>
        <w:rPr>
          <w:rFonts w:hAnsi="宋体"/>
          <w:b/>
          <w:color w:val="auto"/>
          <w:sz w:val="28"/>
          <w:highlight w:val="none"/>
        </w:rPr>
      </w:pPr>
      <w:r>
        <w:rPr>
          <w:rFonts w:hint="eastAsia" w:ascii="方正仿宋_GBK" w:eastAsia="方正仿宋_GBK"/>
          <w:b/>
          <w:color w:val="auto"/>
          <w:sz w:val="28"/>
          <w:highlight w:val="none"/>
        </w:rPr>
        <w:t>扫黄打非工作经费绩效目标表</w:t>
      </w:r>
      <w:r>
        <w:rPr>
          <w:color w:val="auto"/>
          <w:highlight w:val="none"/>
        </w:rPr>
        <w:fldChar w:fldCharType="begin"/>
      </w:r>
      <w:r>
        <w:rPr>
          <w:rFonts w:ascii="方正仿宋_GBK" w:eastAsia="方正仿宋_GBK"/>
          <w:b/>
          <w:color w:val="auto"/>
          <w:sz w:val="28"/>
          <w:highlight w:val="none"/>
        </w:rPr>
        <w:instrText xml:space="preserve"> </w:instrText>
      </w:r>
      <w:r>
        <w:rPr>
          <w:rFonts w:hint="eastAsia" w:ascii="方正仿宋_GBK" w:eastAsia="方正仿宋_GBK"/>
          <w:b/>
          <w:color w:val="auto"/>
          <w:sz w:val="28"/>
          <w:highlight w:val="none"/>
        </w:rPr>
        <w:instrText xml:space="preserve">TC </w:instrText>
      </w:r>
      <w:bookmarkStart w:id="7" w:name="_Toc30348305"/>
      <w:r>
        <w:rPr>
          <w:rFonts w:hint="eastAsia" w:ascii="方正仿宋_GBK" w:eastAsia="方正仿宋_GBK"/>
          <w:b/>
          <w:color w:val="auto"/>
          <w:sz w:val="28"/>
          <w:highlight w:val="none"/>
        </w:rPr>
        <w:instrText xml:space="preserve">10、融媒体中心建设项目经费绩效目标表</w:instrText>
      </w:r>
      <w:bookmarkEnd w:id="7"/>
      <w:r>
        <w:rPr>
          <w:rFonts w:hint="eastAsia" w:ascii="方正仿宋_GBK" w:eastAsia="方正仿宋_GBK"/>
          <w:b/>
          <w:color w:val="auto"/>
          <w:sz w:val="28"/>
          <w:highlight w:val="none"/>
        </w:rPr>
        <w:instrText xml:space="preserve"> \f C \l 1</w:instrText>
      </w:r>
      <w:r>
        <w:rPr>
          <w:rFonts w:ascii="方正仿宋_GBK" w:eastAsia="方正仿宋_GBK"/>
          <w:b/>
          <w:color w:val="auto"/>
          <w:sz w:val="28"/>
          <w:highlight w:val="none"/>
        </w:rPr>
        <w:instrText xml:space="preserve"> </w:instrText>
      </w:r>
      <w:r>
        <w:rPr>
          <w:rFonts w:ascii="方正仿宋_GBK" w:eastAsia="方正仿宋_GBK"/>
          <w:b/>
          <w:color w:val="auto"/>
          <w:sz w:val="28"/>
          <w:highlight w:val="none"/>
        </w:rPr>
        <w:fldChar w:fldCharType="end"/>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1：举办培训活动2期，通过培训提高基层“扫黄打非”工作人员的业务素质和工作能力，推动“扫黄打非”基层站点的规范化标准化建设。</w:t>
            </w:r>
          </w:p>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val="en-US" w:eastAsia="zh-CN"/>
              </w:rPr>
              <w:t>目标2：在全市383个村街安装工作制度牌，发放“扫黄打非”宣传册，全面扫除各类文化垃圾，切实维护我市政治安全、意识形态安全和文化安全。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组织培训次数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组织“扫黄打非”培训活动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制作宣传牌数量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制作宣传牌数量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383个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培训合格率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培训合格人员占总培训人员的比率（百分比）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扫除了各类文化垃圾，维护了我市政治安全、意识形态安全和文化安全，得到广大受众的充分认可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提升影响力</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受训人员满意度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受训人员满意数量占总培训人数的比例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w:t>
            </w:r>
            <w:r>
              <w:rPr>
                <w:rFonts w:hint="eastAsia" w:ascii="方正书宋_GBK" w:eastAsia="方正书宋_GBK"/>
                <w:color w:val="auto"/>
                <w:highlight w:val="none"/>
                <w:lang w:val="en-US" w:eastAsia="zh-CN"/>
              </w:rPr>
              <w:t>80</w:t>
            </w:r>
            <w:r>
              <w:rPr>
                <w:rFonts w:ascii="方正书宋_GBK" w:eastAsia="方正书宋_GBK"/>
                <w:color w:val="auto"/>
                <w:highlight w:val="none"/>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640" w:firstLineChars="200"/>
        <w:rPr>
          <w:rFonts w:hint="default" w:ascii="仿宋_GB2312" w:hAnsi="黑体" w:eastAsia="仿宋_GB2312" w:cs="Times New Roman"/>
          <w:color w:val="auto"/>
          <w:sz w:val="32"/>
          <w:szCs w:val="32"/>
          <w:highlight w:val="none"/>
          <w:lang w:val="en-US" w:eastAsia="zh-CN"/>
        </w:rPr>
      </w:pPr>
      <w:r>
        <w:rPr>
          <w:rFonts w:hint="eastAsia" w:ascii="仿宋_GB2312" w:hAnsi="黑体" w:eastAsia="仿宋_GB2312" w:cs="Times New Roman"/>
          <w:color w:val="auto"/>
          <w:sz w:val="32"/>
          <w:szCs w:val="32"/>
          <w:highlight w:val="none"/>
          <w:lang w:val="en-US" w:eastAsia="zh-CN"/>
        </w:rPr>
        <w:t>12、</w:t>
      </w:r>
      <w:r>
        <w:rPr>
          <w:rFonts w:hint="eastAsia" w:ascii="方正仿宋_GBK" w:eastAsia="方正仿宋_GBK"/>
          <w:b/>
          <w:color w:val="auto"/>
          <w:sz w:val="28"/>
          <w:highlight w:val="none"/>
        </w:rPr>
        <w:t>文化产业引导资金绩效目标表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1：通过对两家企业的资金补贴扶持，有效提升我市文化企业的创新能力和市场竞争力，产生显著的社会效益和经济效益。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补贴企业数量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补贴企业数量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符合条件申报对象覆盖率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享受补贴政策企业占符合条件申报对象总数的比例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补贴金额到位率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补贴资金到位情况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竞争能力提升情况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我市文化企业创新能力和市场竞争能力提升情况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得到提升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补贴对象满意度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受补贴企业整体的满意程度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640" w:firstLineChars="200"/>
        <w:rPr>
          <w:rFonts w:hint="default" w:ascii="仿宋_GB2312" w:hAnsi="黑体" w:eastAsia="仿宋_GB2312" w:cs="Times New Roman"/>
          <w:color w:val="auto"/>
          <w:sz w:val="32"/>
          <w:szCs w:val="32"/>
          <w:highlight w:val="none"/>
          <w:lang w:val="en-US" w:eastAsia="zh-CN"/>
        </w:rPr>
      </w:pPr>
      <w:r>
        <w:rPr>
          <w:rFonts w:hint="eastAsia" w:ascii="仿宋_GB2312" w:hAnsi="黑体" w:eastAsia="仿宋_GB2312" w:cs="Times New Roman"/>
          <w:color w:val="auto"/>
          <w:sz w:val="32"/>
          <w:szCs w:val="32"/>
          <w:highlight w:val="none"/>
          <w:lang w:val="en-US" w:eastAsia="zh-CN"/>
        </w:rPr>
        <w:t>13、</w:t>
      </w:r>
      <w:r>
        <w:rPr>
          <w:rFonts w:hint="eastAsia" w:ascii="方正仿宋_GBK" w:eastAsia="方正仿宋_GBK"/>
          <w:b/>
          <w:color w:val="auto"/>
          <w:sz w:val="28"/>
          <w:highlight w:val="none"/>
        </w:rPr>
        <w:t>文化活动及文艺创作经费绩效目标表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目标1：通过印制发放《霸州文苑》，推出众多优秀文化作品，以飨读者。</w:t>
            </w:r>
          </w:p>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目标2：出版《奋斗之歌一一霸州走在康庄大道上》一书，以深厚独特的文化内涵和更积极的文化姿态展示了霸州形象。</w:t>
            </w:r>
          </w:p>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目标3：举办书法展《致敬小康中国——幸福路上再出发》，继承优秀文化传统，满足广大群众的文化需求。</w:t>
            </w:r>
          </w:p>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目标4：通过系统培训书法中青年骨干提高了他们的业务素质和书法水平。</w:t>
            </w:r>
          </w:p>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val="en-US" w:eastAsia="zh-CN"/>
              </w:rPr>
              <w:t>目标5：通过改造单位办公条件，解决文联冬季取暖问题，确保工作人员温暖过冬。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补助单位数量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补助乡村学校少年宫修缮运转的学校数量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6家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培训场次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书法场训场次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1次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展览次数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书法展览次数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1次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霸州文苑</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全年内刊4期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4期</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奋斗之歌</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国家出版物</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1000册</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解决取暖面积</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解决单位取暖面积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324平方米</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优良率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书法培训合格比率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产生重要影响的作品数量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年度内，在全市展示优秀作品</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≥150幅</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印刷质量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印刷品质量达标率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室内温度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室内温度达到20度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≥20度</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通过活动的开展使我市优秀文化得以传承</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得以传承</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560" w:firstLineChars="200"/>
        <w:jc w:val="left"/>
        <w:outlineLvl w:val="1"/>
        <w:rPr>
          <w:rFonts w:hint="default" w:ascii="仿宋_GB2312" w:hAnsi="黑体" w:eastAsia="仿宋_GB2312" w:cs="Times New Roman"/>
          <w:color w:val="auto"/>
          <w:sz w:val="32"/>
          <w:szCs w:val="32"/>
          <w:highlight w:val="none"/>
          <w:lang w:val="en-US" w:eastAsia="zh-CN"/>
        </w:rPr>
      </w:pPr>
      <w:r>
        <w:rPr>
          <w:rFonts w:hint="eastAsia" w:ascii="方正仿宋_GBK" w:eastAsia="方正仿宋_GBK"/>
          <w:b/>
          <w:color w:val="auto"/>
          <w:sz w:val="28"/>
          <w:highlight w:val="none"/>
          <w:lang w:val="en-US" w:eastAsia="zh-CN"/>
        </w:rPr>
        <w:t>14、</w:t>
      </w:r>
      <w:r>
        <w:rPr>
          <w:rFonts w:hint="eastAsia" w:ascii="方正仿宋_GBK" w:eastAsia="方正仿宋_GBK"/>
          <w:b/>
          <w:color w:val="auto"/>
          <w:sz w:val="28"/>
          <w:highlight w:val="none"/>
        </w:rPr>
        <w:t>乡镇（公社）老放映员生活补助县级配套资金绩效目标表</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b/>
                <w:color w:val="auto"/>
                <w:highlight w:val="none"/>
                <w:lang w:eastAsia="zh-CN"/>
              </w:rPr>
            </w:pPr>
            <w:r>
              <w:rPr>
                <w:rFonts w:hint="eastAsia" w:ascii="方正书宋_GBK" w:eastAsia="方正书宋_GBK"/>
                <w:b/>
                <w:color w:val="auto"/>
                <w:highlight w:val="none"/>
                <w:lang w:eastAsia="zh-CN"/>
              </w:rPr>
              <w:t>绩效目标</w:t>
            </w:r>
          </w:p>
        </w:tc>
        <w:tc>
          <w:tcPr>
            <w:tcW w:w="8272"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b/>
                <w:color w:val="auto"/>
                <w:highlight w:val="none"/>
                <w:lang w:val="en-US" w:eastAsia="zh-CN"/>
              </w:rPr>
            </w:pPr>
            <w:r>
              <w:rPr>
                <w:rFonts w:hint="eastAsia" w:ascii="方正书宋_GBK" w:eastAsia="方正书宋_GBK"/>
                <w:color w:val="auto"/>
                <w:highlight w:val="none"/>
                <w:lang w:eastAsia="zh-CN"/>
              </w:rPr>
              <w:t>目标</w:t>
            </w:r>
            <w:r>
              <w:rPr>
                <w:rFonts w:hint="eastAsia" w:ascii="方正书宋_GBK" w:eastAsia="方正书宋_GBK"/>
                <w:color w:val="auto"/>
                <w:highlight w:val="none"/>
                <w:lang w:val="en-US" w:eastAsia="zh-CN"/>
              </w:rPr>
              <w:t>1：积极改善民生，坚持“尊重历史，保障民生，明确责任，确保落实”的基本原则，妥善解决老放映员的保障和生活困难问题。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补助老放映员数量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按月发放66人老放映员生活补助。</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66人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符合条件申报对象覆盖率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享受扶助政策人数占符合条件申报对象总数的比例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补助金发放率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实际发放的补助金金额占计划发放金额的比率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补助人群生活改善情况</w:t>
            </w:r>
          </w:p>
          <w:p>
            <w:pPr>
              <w:spacing w:line="300" w:lineRule="exact"/>
              <w:jc w:val="left"/>
              <w:rPr>
                <w:rFonts w:ascii="方正书宋_GBK" w:eastAsia="方正书宋_GBK"/>
                <w:color w:val="auto"/>
                <w:highlight w:val="none"/>
              </w:rPr>
            </w:pPr>
          </w:p>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补助人群在生活、医疗、护理、教育等方面的改善情况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改善民生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解决老放映员的保障和生活困难问题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得到改善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老放映员满意度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满意和较满意的受益对象占全部调研对象的比例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ind w:firstLine="640" w:firstLineChars="200"/>
        <w:rPr>
          <w:rFonts w:hint="default" w:ascii="仿宋_GB2312" w:hAnsi="黑体" w:eastAsia="仿宋_GB2312" w:cs="Times New Roman"/>
          <w:color w:val="auto"/>
          <w:sz w:val="32"/>
          <w:szCs w:val="32"/>
          <w:highlight w:val="none"/>
          <w:lang w:val="en-US" w:eastAsia="zh-CN"/>
        </w:rPr>
      </w:pPr>
    </w:p>
    <w:p>
      <w:pPr>
        <w:ind w:firstLine="640" w:firstLineChars="200"/>
        <w:rPr>
          <w:rFonts w:ascii="仿宋_GB2312" w:hAnsi="黑体" w:eastAsia="仿宋_GB2312" w:cs="Times New Roman"/>
          <w:color w:val="auto"/>
          <w:sz w:val="32"/>
          <w:szCs w:val="32"/>
          <w:highlight w:val="none"/>
        </w:rPr>
      </w:pP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六、政府采购预算情况</w:t>
      </w:r>
    </w:p>
    <w:p>
      <w:pPr>
        <w:ind w:firstLine="640" w:firstLineChars="200"/>
        <w:rPr>
          <w:rFonts w:ascii="仿宋_GB2312" w:hAnsi="Times New Roman" w:eastAsia="仿宋_GB2312" w:cs="Times New Roman"/>
          <w:color w:val="auto"/>
          <w:sz w:val="32"/>
          <w:szCs w:val="32"/>
          <w:highlight w:val="none"/>
        </w:rPr>
      </w:pPr>
      <w:bookmarkStart w:id="8" w:name="_Toc471398468"/>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rPr>
        <w:t>年，我部门安排政府采购预算</w:t>
      </w:r>
      <w:r>
        <w:rPr>
          <w:rFonts w:hint="eastAsia" w:ascii="仿宋_GB2312" w:hAnsi="Times New Roman" w:eastAsia="仿宋_GB2312" w:cs="Times New Roman"/>
          <w:color w:val="auto"/>
          <w:sz w:val="32"/>
          <w:szCs w:val="32"/>
          <w:highlight w:val="none"/>
          <w:lang w:val="en-US" w:eastAsia="zh-CN"/>
        </w:rPr>
        <w:t>145.63</w:t>
      </w:r>
      <w:r>
        <w:rPr>
          <w:rFonts w:hint="eastAsia" w:ascii="仿宋_GB2312" w:hAnsi="Times New Roman" w:eastAsia="仿宋_GB2312" w:cs="Times New Roman"/>
          <w:color w:val="auto"/>
          <w:sz w:val="32"/>
          <w:szCs w:val="32"/>
          <w:highlight w:val="none"/>
        </w:rPr>
        <w:t>万元。具体内容见下表。</w:t>
      </w:r>
    </w:p>
    <w:p>
      <w:pPr>
        <w:jc w:val="center"/>
        <w:outlineLvl w:val="0"/>
        <w:rPr>
          <w:rFonts w:ascii="方正小标宋_GBK" w:hAnsi="Times New Roman" w:eastAsia="方正小标宋_GBK" w:cs="Times New Roman"/>
          <w:color w:val="auto"/>
          <w:sz w:val="32"/>
          <w:szCs w:val="24"/>
          <w:highlight w:val="none"/>
        </w:rPr>
      </w:pPr>
      <w:r>
        <w:rPr>
          <w:rFonts w:hint="eastAsia" w:ascii="方正小标宋_GBK" w:hAnsi="Times New Roman" w:eastAsia="方正小标宋_GBK" w:cs="Times New Roman"/>
          <w:color w:val="auto"/>
          <w:sz w:val="32"/>
          <w:szCs w:val="24"/>
          <w:highlight w:val="none"/>
        </w:rPr>
        <w:t>部门政府采购预算</w:t>
      </w:r>
      <w:bookmarkEnd w:id="8"/>
    </w:p>
    <w:tbl>
      <w:tblPr>
        <w:tblStyle w:val="7"/>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8"/>
        <w:gridCol w:w="1020"/>
        <w:gridCol w:w="1301"/>
        <w:gridCol w:w="1349"/>
        <w:gridCol w:w="825"/>
        <w:gridCol w:w="825"/>
        <w:gridCol w:w="924"/>
        <w:gridCol w:w="924"/>
        <w:gridCol w:w="850"/>
        <w:gridCol w:w="924"/>
        <w:gridCol w:w="771"/>
        <w:gridCol w:w="833"/>
        <w:gridCol w:w="836"/>
        <w:gridCol w:w="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3047"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color w:val="auto"/>
                <w:sz w:val="24"/>
                <w:szCs w:val="24"/>
                <w:highlight w:val="none"/>
              </w:rPr>
            </w:pPr>
            <w:r>
              <w:rPr>
                <w:rFonts w:hint="eastAsia" w:ascii="方正小标宋_GBK" w:hAnsi="Times New Roman" w:eastAsia="方正小标宋_GBK" w:cs="Times New Roman"/>
                <w:color w:val="auto"/>
                <w:sz w:val="18"/>
                <w:szCs w:val="18"/>
                <w:highlight w:val="none"/>
                <w:shd w:val="clear" w:color="auto" w:fill="auto"/>
                <w:lang w:val="en-US" w:eastAsia="zh-CN"/>
              </w:rPr>
              <w:t>[128]霸州市中国共产党霸州市委员会宣传部</w:t>
            </w:r>
          </w:p>
        </w:tc>
        <w:tc>
          <w:tcPr>
            <w:tcW w:w="195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color w:val="auto"/>
                <w:sz w:val="18"/>
                <w:szCs w:val="18"/>
                <w:highlight w:val="none"/>
              </w:rPr>
            </w:pPr>
            <w:r>
              <w:rPr>
                <w:rFonts w:hint="eastAsia" w:ascii="方正小标宋_GBK" w:hAnsi="Times New Roman" w:eastAsia="方正小标宋_GBK" w:cs="Times New Roman"/>
                <w:color w:val="auto"/>
                <w:sz w:val="18"/>
                <w:szCs w:val="18"/>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5" w:type="pct"/>
            <w:gridSpan w:val="2"/>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政府采购项目来源</w:t>
            </w:r>
          </w:p>
        </w:tc>
        <w:tc>
          <w:tcPr>
            <w:tcW w:w="464"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采购物品名称</w:t>
            </w:r>
          </w:p>
        </w:tc>
        <w:tc>
          <w:tcPr>
            <w:tcW w:w="481"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政府采购目录序号</w:t>
            </w:r>
          </w:p>
        </w:tc>
        <w:tc>
          <w:tcPr>
            <w:tcW w:w="296"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数量  单位</w:t>
            </w:r>
          </w:p>
        </w:tc>
        <w:tc>
          <w:tcPr>
            <w:tcW w:w="296"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数量</w:t>
            </w:r>
          </w:p>
        </w:tc>
        <w:tc>
          <w:tcPr>
            <w:tcW w:w="314"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单价</w:t>
            </w:r>
          </w:p>
        </w:tc>
        <w:tc>
          <w:tcPr>
            <w:tcW w:w="1952" w:type="pct"/>
            <w:gridSpan w:val="7"/>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0"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项目名称</w:t>
            </w:r>
          </w:p>
        </w:tc>
        <w:tc>
          <w:tcPr>
            <w:tcW w:w="365"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预算资金</w:t>
            </w:r>
          </w:p>
        </w:tc>
        <w:tc>
          <w:tcPr>
            <w:tcW w:w="464"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481"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96"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96"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314"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305"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总计</w:t>
            </w:r>
          </w:p>
        </w:tc>
        <w:tc>
          <w:tcPr>
            <w:tcW w:w="1486" w:type="pct"/>
            <w:gridSpan w:val="5"/>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当年部门预算安排资金</w:t>
            </w:r>
          </w:p>
        </w:tc>
        <w:tc>
          <w:tcPr>
            <w:tcW w:w="160" w:type="pct"/>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0"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365"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464"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481"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96"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96"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314"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305"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305" w:type="pc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合计</w:t>
            </w:r>
          </w:p>
        </w:tc>
        <w:tc>
          <w:tcPr>
            <w:tcW w:w="305" w:type="pc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一般公共预算拨款</w:t>
            </w:r>
          </w:p>
        </w:tc>
        <w:tc>
          <w:tcPr>
            <w:tcW w:w="277" w:type="pc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基金预算拨款</w:t>
            </w:r>
          </w:p>
        </w:tc>
        <w:tc>
          <w:tcPr>
            <w:tcW w:w="299" w:type="pc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财政专户核拨</w:t>
            </w:r>
          </w:p>
        </w:tc>
        <w:tc>
          <w:tcPr>
            <w:tcW w:w="300" w:type="pc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其他来源收入</w:t>
            </w:r>
          </w:p>
        </w:tc>
        <w:tc>
          <w:tcPr>
            <w:tcW w:w="160" w:type="pct"/>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shd w:val="clear" w:color="auto" w:fill="auto"/>
            <w:vAlign w:val="center"/>
          </w:tcPr>
          <w:p>
            <w:pPr>
              <w:spacing w:line="300" w:lineRule="exact"/>
              <w:jc w:val="center"/>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创建文明城市工作经费</w:t>
            </w:r>
          </w:p>
        </w:tc>
        <w:tc>
          <w:tcPr>
            <w:tcW w:w="365" w:type="pct"/>
            <w:shd w:val="clear" w:color="auto" w:fill="auto"/>
            <w:vAlign w:val="center"/>
          </w:tcPr>
          <w:p>
            <w:pPr>
              <w:spacing w:line="300" w:lineRule="exact"/>
              <w:jc w:val="both"/>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130.00</w:t>
            </w:r>
          </w:p>
        </w:tc>
        <w:tc>
          <w:tcPr>
            <w:tcW w:w="464" w:type="pct"/>
            <w:shd w:val="clear" w:color="auto" w:fill="auto"/>
            <w:vAlign w:val="center"/>
          </w:tcPr>
          <w:p>
            <w:pPr>
              <w:spacing w:line="300" w:lineRule="exact"/>
              <w:jc w:val="left"/>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其他印刷品</w:t>
            </w:r>
          </w:p>
        </w:tc>
        <w:tc>
          <w:tcPr>
            <w:tcW w:w="481" w:type="pct"/>
            <w:shd w:val="clear" w:color="auto" w:fill="auto"/>
            <w:vAlign w:val="center"/>
          </w:tcPr>
          <w:p>
            <w:pPr>
              <w:spacing w:line="300" w:lineRule="exact"/>
              <w:jc w:val="lef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A080299</w:t>
            </w:r>
          </w:p>
        </w:tc>
        <w:tc>
          <w:tcPr>
            <w:tcW w:w="296" w:type="pct"/>
            <w:shd w:val="clear" w:color="auto" w:fill="auto"/>
            <w:vAlign w:val="center"/>
          </w:tcPr>
          <w:p>
            <w:pPr>
              <w:spacing w:line="300" w:lineRule="exact"/>
              <w:jc w:val="lef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批</w:t>
            </w:r>
          </w:p>
        </w:tc>
        <w:tc>
          <w:tcPr>
            <w:tcW w:w="296"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w:t>
            </w:r>
          </w:p>
        </w:tc>
        <w:tc>
          <w:tcPr>
            <w:tcW w:w="314"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10.00</w:t>
            </w: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10.00</w:t>
            </w:r>
          </w:p>
        </w:tc>
        <w:tc>
          <w:tcPr>
            <w:tcW w:w="305"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10.00</w:t>
            </w:r>
          </w:p>
        </w:tc>
        <w:tc>
          <w:tcPr>
            <w:tcW w:w="277"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299"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16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shd w:val="clear" w:color="auto" w:fill="auto"/>
            <w:vAlign w:val="center"/>
          </w:tcPr>
          <w:p>
            <w:pPr>
              <w:spacing w:line="300" w:lineRule="exact"/>
              <w:jc w:val="center"/>
              <w:rPr>
                <w:rFonts w:hint="eastAsia"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lang w:eastAsia="zh-CN"/>
              </w:rPr>
              <w:t>创建文明城市工作经费</w:t>
            </w:r>
          </w:p>
        </w:tc>
        <w:tc>
          <w:tcPr>
            <w:tcW w:w="36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130.00</w:t>
            </w:r>
          </w:p>
        </w:tc>
        <w:tc>
          <w:tcPr>
            <w:tcW w:w="464" w:type="pct"/>
            <w:shd w:val="clear" w:color="auto" w:fill="auto"/>
            <w:vAlign w:val="center"/>
          </w:tcPr>
          <w:p>
            <w:pPr>
              <w:spacing w:line="300" w:lineRule="exact"/>
              <w:jc w:val="left"/>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其他不另分类的物品</w:t>
            </w:r>
          </w:p>
        </w:tc>
        <w:tc>
          <w:tcPr>
            <w:tcW w:w="481" w:type="pct"/>
            <w:shd w:val="clear" w:color="auto" w:fill="auto"/>
            <w:vAlign w:val="center"/>
          </w:tcPr>
          <w:p>
            <w:pPr>
              <w:spacing w:line="300" w:lineRule="exact"/>
              <w:jc w:val="lef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A9999</w:t>
            </w:r>
          </w:p>
        </w:tc>
        <w:tc>
          <w:tcPr>
            <w:tcW w:w="296" w:type="pct"/>
            <w:shd w:val="clear" w:color="auto" w:fill="auto"/>
            <w:vAlign w:val="center"/>
          </w:tcPr>
          <w:p>
            <w:pPr>
              <w:spacing w:line="300" w:lineRule="exact"/>
              <w:jc w:val="left"/>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批</w:t>
            </w:r>
          </w:p>
        </w:tc>
        <w:tc>
          <w:tcPr>
            <w:tcW w:w="296"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w:t>
            </w:r>
          </w:p>
        </w:tc>
        <w:tc>
          <w:tcPr>
            <w:tcW w:w="314"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120.00</w:t>
            </w: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120.00</w:t>
            </w:r>
          </w:p>
        </w:tc>
        <w:tc>
          <w:tcPr>
            <w:tcW w:w="305"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120.00</w:t>
            </w:r>
          </w:p>
        </w:tc>
        <w:tc>
          <w:tcPr>
            <w:tcW w:w="277"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299"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16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shd w:val="clear" w:color="auto" w:fill="auto"/>
            <w:vAlign w:val="center"/>
          </w:tcPr>
          <w:p>
            <w:pPr>
              <w:spacing w:line="300" w:lineRule="exact"/>
              <w:jc w:val="center"/>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文化活动及文艺创作经费</w:t>
            </w:r>
          </w:p>
        </w:tc>
        <w:tc>
          <w:tcPr>
            <w:tcW w:w="36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20.00</w:t>
            </w:r>
          </w:p>
        </w:tc>
        <w:tc>
          <w:tcPr>
            <w:tcW w:w="464" w:type="pct"/>
            <w:shd w:val="clear" w:color="auto" w:fill="auto"/>
            <w:vAlign w:val="center"/>
          </w:tcPr>
          <w:p>
            <w:pPr>
              <w:spacing w:line="300" w:lineRule="exact"/>
              <w:jc w:val="left"/>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其他印刷品</w:t>
            </w:r>
          </w:p>
        </w:tc>
        <w:tc>
          <w:tcPr>
            <w:tcW w:w="481" w:type="pct"/>
            <w:shd w:val="clear" w:color="auto" w:fill="auto"/>
            <w:vAlign w:val="center"/>
          </w:tcPr>
          <w:p>
            <w:pPr>
              <w:spacing w:line="300" w:lineRule="exact"/>
              <w:jc w:val="lef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A080299</w:t>
            </w:r>
          </w:p>
        </w:tc>
        <w:tc>
          <w:tcPr>
            <w:tcW w:w="296" w:type="pct"/>
            <w:shd w:val="clear" w:color="auto" w:fill="auto"/>
            <w:vAlign w:val="center"/>
          </w:tcPr>
          <w:p>
            <w:pPr>
              <w:spacing w:line="300" w:lineRule="exact"/>
              <w:jc w:val="left"/>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批</w:t>
            </w:r>
          </w:p>
        </w:tc>
        <w:tc>
          <w:tcPr>
            <w:tcW w:w="296"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w:t>
            </w:r>
          </w:p>
        </w:tc>
        <w:tc>
          <w:tcPr>
            <w:tcW w:w="314"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11.63</w:t>
            </w: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11.63</w:t>
            </w:r>
          </w:p>
        </w:tc>
        <w:tc>
          <w:tcPr>
            <w:tcW w:w="305"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11.63</w:t>
            </w:r>
          </w:p>
        </w:tc>
        <w:tc>
          <w:tcPr>
            <w:tcW w:w="277"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299"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16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shd w:val="clear" w:color="auto" w:fill="auto"/>
            <w:vAlign w:val="center"/>
          </w:tcPr>
          <w:p>
            <w:pPr>
              <w:spacing w:line="300" w:lineRule="exact"/>
              <w:jc w:val="center"/>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扫黄打非工作经费</w:t>
            </w:r>
          </w:p>
        </w:tc>
        <w:tc>
          <w:tcPr>
            <w:tcW w:w="36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10.00</w:t>
            </w:r>
          </w:p>
        </w:tc>
        <w:tc>
          <w:tcPr>
            <w:tcW w:w="464" w:type="pct"/>
            <w:shd w:val="clear" w:color="auto" w:fill="auto"/>
            <w:vAlign w:val="center"/>
          </w:tcPr>
          <w:p>
            <w:pPr>
              <w:spacing w:line="300" w:lineRule="exact"/>
              <w:jc w:val="left"/>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其他印刷品</w:t>
            </w:r>
          </w:p>
        </w:tc>
        <w:tc>
          <w:tcPr>
            <w:tcW w:w="481" w:type="pct"/>
            <w:shd w:val="clear" w:color="auto" w:fill="auto"/>
            <w:vAlign w:val="center"/>
          </w:tcPr>
          <w:p>
            <w:pPr>
              <w:spacing w:line="300" w:lineRule="exact"/>
              <w:jc w:val="lef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A080299</w:t>
            </w:r>
          </w:p>
        </w:tc>
        <w:tc>
          <w:tcPr>
            <w:tcW w:w="296" w:type="pct"/>
            <w:shd w:val="clear" w:color="auto" w:fill="auto"/>
            <w:vAlign w:val="center"/>
          </w:tcPr>
          <w:p>
            <w:pPr>
              <w:spacing w:line="300" w:lineRule="exact"/>
              <w:jc w:val="left"/>
              <w:rPr>
                <w:rFonts w:hint="eastAsia" w:ascii="方正书宋_GBK" w:hAnsi="Times New Roman" w:eastAsia="方正书宋_GBK" w:cs="Times New Roman"/>
                <w:b/>
                <w:color w:val="auto"/>
                <w:szCs w:val="24"/>
                <w:highlight w:val="none"/>
                <w:lang w:eastAsia="zh-CN"/>
              </w:rPr>
            </w:pPr>
            <w:r>
              <w:rPr>
                <w:rFonts w:hint="eastAsia" w:ascii="方正书宋_GBK" w:hAnsi="Times New Roman" w:eastAsia="方正书宋_GBK" w:cs="Times New Roman"/>
                <w:b/>
                <w:color w:val="auto"/>
                <w:szCs w:val="24"/>
                <w:highlight w:val="none"/>
                <w:lang w:eastAsia="zh-CN"/>
              </w:rPr>
              <w:t>批</w:t>
            </w:r>
          </w:p>
        </w:tc>
        <w:tc>
          <w:tcPr>
            <w:tcW w:w="296"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1.00</w:t>
            </w:r>
          </w:p>
        </w:tc>
        <w:tc>
          <w:tcPr>
            <w:tcW w:w="314"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4.00</w:t>
            </w: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4.00</w:t>
            </w:r>
          </w:p>
        </w:tc>
        <w:tc>
          <w:tcPr>
            <w:tcW w:w="305"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4.00</w:t>
            </w:r>
          </w:p>
        </w:tc>
        <w:tc>
          <w:tcPr>
            <w:tcW w:w="277"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299"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16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hint="eastAsia" w:ascii="方正书宋_GBK" w:hAnsi="Times New Roman" w:eastAsia="方正书宋_GBK" w:cs="Times New Roman"/>
                <w:b/>
                <w:color w:val="auto"/>
                <w:szCs w:val="24"/>
                <w:highlight w:val="none"/>
              </w:rPr>
              <w:t>合　计</w:t>
            </w:r>
          </w:p>
        </w:tc>
        <w:tc>
          <w:tcPr>
            <w:tcW w:w="365"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464" w:type="pct"/>
            <w:shd w:val="clear" w:color="auto" w:fill="auto"/>
            <w:vAlign w:val="center"/>
          </w:tcPr>
          <w:p>
            <w:pPr>
              <w:spacing w:line="300" w:lineRule="exact"/>
              <w:jc w:val="left"/>
              <w:rPr>
                <w:rFonts w:ascii="方正书宋_GBK" w:hAnsi="Times New Roman" w:eastAsia="方正书宋_GBK" w:cs="Times New Roman"/>
                <w:b/>
                <w:color w:val="auto"/>
                <w:szCs w:val="24"/>
                <w:highlight w:val="none"/>
              </w:rPr>
            </w:pPr>
          </w:p>
        </w:tc>
        <w:tc>
          <w:tcPr>
            <w:tcW w:w="481" w:type="pct"/>
            <w:shd w:val="clear" w:color="auto" w:fill="auto"/>
            <w:vAlign w:val="center"/>
          </w:tcPr>
          <w:p>
            <w:pPr>
              <w:spacing w:line="300" w:lineRule="exact"/>
              <w:jc w:val="left"/>
              <w:rPr>
                <w:rFonts w:ascii="方正书宋_GBK" w:hAnsi="Times New Roman" w:eastAsia="方正书宋_GBK" w:cs="Times New Roman"/>
                <w:b/>
                <w:color w:val="auto"/>
                <w:szCs w:val="24"/>
                <w:highlight w:val="none"/>
              </w:rPr>
            </w:pPr>
          </w:p>
        </w:tc>
        <w:tc>
          <w:tcPr>
            <w:tcW w:w="296" w:type="pct"/>
            <w:shd w:val="clear" w:color="auto" w:fill="auto"/>
            <w:vAlign w:val="center"/>
          </w:tcPr>
          <w:p>
            <w:pPr>
              <w:spacing w:line="300" w:lineRule="exact"/>
              <w:jc w:val="left"/>
              <w:rPr>
                <w:rFonts w:ascii="方正书宋_GBK" w:hAnsi="Times New Roman" w:eastAsia="方正书宋_GBK" w:cs="Times New Roman"/>
                <w:b/>
                <w:color w:val="auto"/>
                <w:szCs w:val="24"/>
                <w:highlight w:val="none"/>
              </w:rPr>
            </w:pPr>
          </w:p>
        </w:tc>
        <w:tc>
          <w:tcPr>
            <w:tcW w:w="296"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14"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145.63</w:t>
            </w:r>
          </w:p>
        </w:tc>
        <w:tc>
          <w:tcPr>
            <w:tcW w:w="305"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5" w:type="pct"/>
            <w:shd w:val="clear" w:color="auto" w:fill="auto"/>
            <w:vAlign w:val="center"/>
          </w:tcPr>
          <w:p>
            <w:pPr>
              <w:spacing w:line="300" w:lineRule="exact"/>
              <w:jc w:val="right"/>
              <w:rPr>
                <w:rFonts w:hint="default" w:ascii="方正书宋_GBK" w:hAnsi="Times New Roman" w:eastAsia="方正书宋_GBK" w:cs="Times New Roman"/>
                <w:b/>
                <w:color w:val="auto"/>
                <w:szCs w:val="24"/>
                <w:highlight w:val="none"/>
                <w:lang w:val="en-US" w:eastAsia="zh-CN"/>
              </w:rPr>
            </w:pPr>
            <w:r>
              <w:rPr>
                <w:rFonts w:hint="eastAsia" w:ascii="方正书宋_GBK" w:hAnsi="Times New Roman" w:eastAsia="方正书宋_GBK" w:cs="Times New Roman"/>
                <w:b/>
                <w:color w:val="auto"/>
                <w:szCs w:val="24"/>
                <w:highlight w:val="none"/>
                <w:lang w:val="en-US" w:eastAsia="zh-CN"/>
              </w:rPr>
              <w:t>145.63</w:t>
            </w:r>
          </w:p>
        </w:tc>
        <w:tc>
          <w:tcPr>
            <w:tcW w:w="277"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299"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30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160" w:type="pct"/>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bl>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七、国有资产信息</w:t>
      </w:r>
    </w:p>
    <w:p>
      <w:pPr>
        <w:ind w:firstLine="640" w:firstLineChars="200"/>
        <w:rPr>
          <w:rFonts w:hint="eastAsia"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霸州市</w:t>
      </w:r>
      <w:r>
        <w:rPr>
          <w:rFonts w:hint="eastAsia" w:ascii="仿宋_GB2312" w:hAnsi="黑体" w:eastAsia="仿宋_GB2312" w:cs="Times New Roman"/>
          <w:color w:val="auto"/>
          <w:sz w:val="32"/>
          <w:szCs w:val="32"/>
          <w:highlight w:val="none"/>
          <w:lang w:eastAsia="zh-CN"/>
        </w:rPr>
        <w:t>中国共产党霸州市委员会宣传部</w:t>
      </w:r>
      <w:r>
        <w:rPr>
          <w:rFonts w:hint="eastAsia" w:ascii="仿宋_GB2312" w:hAnsi="黑体" w:eastAsia="仿宋_GB2312" w:cs="Times New Roman"/>
          <w:color w:val="auto"/>
          <w:sz w:val="32"/>
          <w:szCs w:val="32"/>
          <w:highlight w:val="none"/>
        </w:rPr>
        <w:t>（含所属单位）上年末固定资产金额为</w:t>
      </w:r>
      <w:r>
        <w:rPr>
          <w:rFonts w:hint="eastAsia" w:ascii="仿宋_GB2312" w:hAnsi="黑体" w:eastAsia="仿宋_GB2312" w:cs="Times New Roman"/>
          <w:color w:val="auto"/>
          <w:sz w:val="32"/>
          <w:szCs w:val="32"/>
          <w:highlight w:val="none"/>
          <w:lang w:val="en-US" w:eastAsia="zh-CN"/>
        </w:rPr>
        <w:t>939.7601</w:t>
      </w:r>
      <w:r>
        <w:rPr>
          <w:rFonts w:hint="eastAsia" w:ascii="仿宋_GB2312" w:hAnsi="黑体" w:eastAsia="仿宋_GB2312" w:cs="Times New Roman"/>
          <w:color w:val="auto"/>
          <w:sz w:val="32"/>
          <w:szCs w:val="32"/>
          <w:highlight w:val="none"/>
        </w:rPr>
        <w:t>万元（详见下表）。</w:t>
      </w:r>
    </w:p>
    <w:p>
      <w:pPr>
        <w:ind w:firstLine="643" w:firstLineChars="200"/>
        <w:rPr>
          <w:rFonts w:ascii="仿宋_GB2312" w:hAnsi="Times New Roman" w:eastAsia="仿宋_GB2312" w:cs="Times New Roman"/>
          <w:color w:val="auto"/>
          <w:sz w:val="32"/>
          <w:szCs w:val="32"/>
          <w:highlight w:val="none"/>
        </w:rPr>
      </w:pPr>
      <w:r>
        <w:rPr>
          <w:rFonts w:ascii="仿宋_GB2312" w:hAnsi="黑体" w:eastAsia="仿宋_GB2312" w:cs="Times New Roman"/>
          <w:b/>
          <w:color w:val="auto"/>
          <w:sz w:val="32"/>
          <w:szCs w:val="32"/>
          <w:highlight w:val="none"/>
        </w:rPr>
        <w:t>2020</w:t>
      </w:r>
      <w:r>
        <w:rPr>
          <w:rFonts w:hint="eastAsia" w:ascii="仿宋_GB2312" w:hAnsi="黑体" w:eastAsia="仿宋_GB2312" w:cs="Times New Roman"/>
          <w:b/>
          <w:color w:val="auto"/>
          <w:sz w:val="32"/>
          <w:szCs w:val="32"/>
          <w:highlight w:val="none"/>
        </w:rPr>
        <w:t>年</w:t>
      </w:r>
      <w:r>
        <w:rPr>
          <w:rFonts w:ascii="仿宋_GB2312" w:hAnsi="黑体" w:eastAsia="仿宋_GB2312" w:cs="Times New Roman"/>
          <w:b/>
          <w:color w:val="auto"/>
          <w:sz w:val="32"/>
          <w:szCs w:val="32"/>
          <w:highlight w:val="none"/>
        </w:rPr>
        <w:t>，我部门无新增固定资产计划</w:t>
      </w:r>
      <w:r>
        <w:rPr>
          <w:rFonts w:hint="eastAsia" w:ascii="仿宋_GB2312" w:hAnsi="黑体" w:eastAsia="仿宋_GB2312" w:cs="Times New Roman"/>
          <w:b/>
          <w:color w:val="auto"/>
          <w:sz w:val="32"/>
          <w:szCs w:val="32"/>
          <w:highlight w:val="none"/>
        </w:rPr>
        <w:t>。</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highlight w:val="none"/>
              </w:rPr>
            </w:pPr>
          </w:p>
          <w:p>
            <w:pPr>
              <w:widowControl/>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eastAsia="zh-CN"/>
              </w:rPr>
              <w:t>中国共产党霸州市委员会宣传部</w:t>
            </w:r>
            <w:r>
              <w:rPr>
                <w:rFonts w:hint="eastAsia" w:ascii="宋体" w:hAnsi="宋体" w:eastAsia="宋体" w:cs="宋体"/>
                <w:b/>
                <w:bCs/>
                <w:color w:val="auto"/>
                <w:kern w:val="0"/>
                <w:sz w:val="32"/>
                <w:szCs w:val="32"/>
                <w:highlight w:val="none"/>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编制部门：</w:t>
            </w:r>
            <w:r>
              <w:rPr>
                <w:rFonts w:hint="eastAsia" w:ascii="宋体" w:hAnsi="宋体" w:eastAsia="宋体" w:cs="宋体"/>
                <w:color w:val="auto"/>
                <w:kern w:val="0"/>
                <w:sz w:val="22"/>
                <w:highlight w:val="none"/>
                <w:lang w:val="en-US" w:eastAsia="zh-CN"/>
              </w:rPr>
              <w:t>128中国共产党霸州市委员会宣传部</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截止时间：201</w:t>
            </w:r>
            <w:r>
              <w:rPr>
                <w:rFonts w:ascii="宋体" w:hAnsi="宋体" w:eastAsia="宋体" w:cs="宋体"/>
                <w:color w:val="auto"/>
                <w:kern w:val="0"/>
                <w:sz w:val="22"/>
                <w:highlight w:val="none"/>
              </w:rPr>
              <w:t>9</w:t>
            </w:r>
            <w:r>
              <w:rPr>
                <w:rFonts w:hint="eastAsia" w:ascii="宋体" w:hAnsi="宋体" w:eastAsia="宋体" w:cs="宋体"/>
                <w:color w:val="auto"/>
                <w:kern w:val="0"/>
                <w:sz w:val="22"/>
                <w:highlight w:val="none"/>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939.7601</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56.46</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8</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346.2916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537.0085</w:t>
            </w:r>
          </w:p>
        </w:tc>
      </w:tr>
    </w:tbl>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八、名词解释</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w:t>
      </w:r>
      <w:r>
        <w:rPr>
          <w:rFonts w:ascii="仿宋_GB2312" w:hAnsi="黑体" w:eastAsia="仿宋_GB2312" w:cs="Times New Roman"/>
          <w:color w:val="auto"/>
          <w:sz w:val="32"/>
          <w:szCs w:val="32"/>
          <w:highlight w:val="none"/>
        </w:rPr>
        <w:t xml:space="preserve">   </w:t>
      </w:r>
      <w:r>
        <w:rPr>
          <w:rFonts w:hint="eastAsia" w:ascii="仿宋_GB2312" w:hAnsi="黑体" w:eastAsia="仿宋_GB2312" w:cs="Times New Roman"/>
          <w:color w:val="auto"/>
          <w:sz w:val="32"/>
          <w:szCs w:val="32"/>
          <w:highlight w:val="none"/>
        </w:rPr>
        <w:t>1、一般公共预算拨款收入：指市级财政当年拨付的资金。</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2、事业收入：指事业单位开展专业业务活动及辅助活动所取得的收入。</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3、其他收入：指除上述“财政拨款收入”、“事业收入”等以外的收入。主要是按规定动用的租房收入、存款利息收入等。</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4、基本支出：指为保障机构正常运转、完成日常工作任务而发生的人员支出和公用支出。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5、项目支出：指在基本支出之外为完成特定行政任务和事业发展目标所发生的支出。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6、上缴上级支出：指下级单位上缴上级的支出。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九、其他需要说明的事项</w:t>
      </w:r>
    </w:p>
    <w:p>
      <w:pPr>
        <w:ind w:firstLine="640"/>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2965"/>
    <w:multiLevelType w:val="singleLevel"/>
    <w:tmpl w:val="17F3296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122A0EE7"/>
    <w:rsid w:val="13574854"/>
    <w:rsid w:val="145C53D3"/>
    <w:rsid w:val="19464EBC"/>
    <w:rsid w:val="27BF5E2C"/>
    <w:rsid w:val="334974C4"/>
    <w:rsid w:val="46083649"/>
    <w:rsid w:val="50FA64C6"/>
    <w:rsid w:val="52BE145C"/>
    <w:rsid w:val="64A02FBC"/>
    <w:rsid w:val="69875505"/>
    <w:rsid w:val="6D1161BC"/>
    <w:rsid w:val="7DB04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13</TotalTime>
  <ScaleCrop>false</ScaleCrop>
  <LinksUpToDate>false</LinksUpToDate>
  <CharactersWithSpaces>3329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2020-07-17T10:49:25Z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